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CE991F">
      <w:pPr>
        <w:pStyle w:val="36"/>
        <w:jc w:val="center"/>
        <w:rPr>
          <w:rFonts w:eastAsia="Times New Roman"/>
          <w:b/>
          <w:bCs/>
          <w:color w:val="C00000"/>
          <w:kern w:val="0"/>
          <w:lang w:val="en-GB" w:eastAsia="en-US" w:bidi="ar-SA"/>
        </w:rPr>
      </w:pPr>
      <w:r>
        <w:rPr>
          <w:rFonts w:eastAsia="Times New Roman"/>
          <w:b/>
          <w:bCs/>
          <w:color w:val="0000FF"/>
          <w:kern w:val="0"/>
          <w:lang w:val="en-GB" w:eastAsia="en-US" w:bidi="ar-SA"/>
        </w:rPr>
        <w:pict>
          <v:shape id="_x0000_i1025" o:spt="75" type="#_x0000_t75" style="height:83.2pt;width:199.8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54BCB65B">
      <w:pPr>
        <w:pStyle w:val="36"/>
        <w:jc w:val="center"/>
        <w:rPr>
          <w:rFonts w:eastAsia="Times New Roman"/>
          <w:b/>
          <w:bCs/>
          <w:color w:val="C00000"/>
          <w:kern w:val="0"/>
          <w:lang w:val="en-GB" w:eastAsia="en-US" w:bidi="ar-SA"/>
        </w:rPr>
      </w:pPr>
    </w:p>
    <w:p w14:paraId="7F24F240">
      <w:pPr>
        <w:pStyle w:val="36"/>
        <w:jc w:val="center"/>
        <w:rPr>
          <w:rFonts w:eastAsia="Times New Roman"/>
          <w:b/>
          <w:bCs/>
          <w:color w:val="C00000"/>
          <w:kern w:val="0"/>
          <w:lang w:val="en-GB" w:eastAsia="en-US" w:bidi="ar-SA"/>
        </w:rPr>
      </w:pPr>
    </w:p>
    <w:p w14:paraId="3869B1F1">
      <w:pPr>
        <w:pStyle w:val="36"/>
        <w:jc w:val="center"/>
        <w:rPr>
          <w:color w:val="C0504D"/>
          <w:szCs w:val="24"/>
          <w:lang w:val="en-GB"/>
        </w:rPr>
      </w:pPr>
      <w:r>
        <w:rPr>
          <w:b/>
          <w:color w:val="860027"/>
          <w:lang w:val="en-GB"/>
        </w:rPr>
        <w:t>Institute of Regional Development</w:t>
      </w:r>
    </w:p>
    <w:p w14:paraId="6E11E7AE">
      <w:pPr>
        <w:pStyle w:val="36"/>
        <w:jc w:val="center"/>
        <w:rPr>
          <w:szCs w:val="24"/>
          <w:lang w:val="en-GB"/>
        </w:rPr>
      </w:pPr>
    </w:p>
    <w:p w14:paraId="0689DA45">
      <w:pPr>
        <w:pStyle w:val="36"/>
        <w:jc w:val="both"/>
        <w:rPr>
          <w:rFonts w:hint="default"/>
          <w:szCs w:val="24"/>
          <w:lang w:val="lt-LT"/>
        </w:rPr>
      </w:pPr>
    </w:p>
    <w:p w14:paraId="769EF2BC">
      <w:pPr>
        <w:pStyle w:val="36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>1</w:t>
      </w:r>
      <w:r>
        <w:rPr>
          <w:rFonts w:hint="default"/>
          <w:color w:val="auto"/>
          <w:szCs w:val="24"/>
          <w:lang w:val="lt-LT"/>
        </w:rPr>
        <w:t>4</w:t>
      </w:r>
      <w:r>
        <w:rPr>
          <w:color w:val="auto"/>
          <w:szCs w:val="24"/>
          <w:vertAlign w:val="superscript"/>
          <w:lang w:val="en-GB"/>
        </w:rPr>
        <w:t>th</w:t>
      </w:r>
      <w:r>
        <w:rPr>
          <w:color w:val="auto"/>
          <w:szCs w:val="24"/>
          <w:lang w:val="en-GB"/>
        </w:rPr>
        <w:t xml:space="preserve"> International Interdisciplinary Scientific Conference </w:t>
      </w:r>
    </w:p>
    <w:p w14:paraId="51D382D6">
      <w:pPr>
        <w:pStyle w:val="36"/>
        <w:jc w:val="center"/>
        <w:rPr>
          <w:i/>
          <w:iCs/>
          <w:color w:val="auto"/>
          <w:szCs w:val="24"/>
          <w:lang w:val="en-GB"/>
        </w:rPr>
      </w:pPr>
      <w:r>
        <w:rPr>
          <w:b/>
          <w:caps/>
          <w:color w:val="auto"/>
          <w:szCs w:val="24"/>
          <w:lang w:val="en-GB"/>
        </w:rPr>
        <w:t xml:space="preserve">THE REGION: HISTORY, CULTURE, LANGUAGE </w:t>
      </w:r>
    </w:p>
    <w:p w14:paraId="1F1C2547">
      <w:pPr>
        <w:pStyle w:val="36"/>
        <w:jc w:val="center"/>
        <w:rPr>
          <w:color w:val="auto"/>
          <w:szCs w:val="24"/>
          <w:highlight w:val="none"/>
          <w:lang w:val="en-GB"/>
        </w:rPr>
      </w:pPr>
      <w:bookmarkStart w:id="0" w:name="OLE_LINK1"/>
      <w:bookmarkStart w:id="1" w:name="OLE_LINK2"/>
      <w:r>
        <w:rPr>
          <w:color w:val="auto"/>
          <w:szCs w:val="24"/>
          <w:lang w:val="en-GB"/>
        </w:rPr>
        <w:t>1</w:t>
      </w:r>
      <w:r>
        <w:rPr>
          <w:rFonts w:hint="default"/>
          <w:color w:val="auto"/>
          <w:szCs w:val="24"/>
          <w:lang w:val="lt-LT"/>
        </w:rPr>
        <w:t>5</w:t>
      </w:r>
      <w:r>
        <w:rPr>
          <w:color w:val="auto"/>
          <w:szCs w:val="24"/>
          <w:vertAlign w:val="superscript"/>
          <w:lang w:val="en-GB"/>
        </w:rPr>
        <w:t>th</w:t>
      </w:r>
      <w:r>
        <w:rPr>
          <w:color w:val="auto"/>
          <w:szCs w:val="24"/>
          <w:lang w:val="en-GB"/>
        </w:rPr>
        <w:t>–</w:t>
      </w:r>
      <w:r>
        <w:rPr>
          <w:color w:val="auto"/>
          <w:szCs w:val="24"/>
          <w:lang w:val="en-US"/>
        </w:rPr>
        <w:t>1</w:t>
      </w:r>
      <w:r>
        <w:rPr>
          <w:rFonts w:hint="default"/>
          <w:color w:val="auto"/>
          <w:szCs w:val="24"/>
          <w:lang w:val="lt-LT"/>
        </w:rPr>
        <w:t>6</w:t>
      </w:r>
      <w:r>
        <w:rPr>
          <w:color w:val="auto"/>
          <w:szCs w:val="24"/>
          <w:vertAlign w:val="superscript"/>
          <w:lang w:val="en-GB"/>
        </w:rPr>
        <w:t>th</w:t>
      </w:r>
      <w:r>
        <w:rPr>
          <w:color w:val="auto"/>
          <w:szCs w:val="24"/>
          <w:highlight w:val="none"/>
          <w:lang w:val="en-GB"/>
        </w:rPr>
        <w:t xml:space="preserve"> of May, 202</w:t>
      </w:r>
      <w:r>
        <w:rPr>
          <w:rFonts w:hint="default"/>
          <w:color w:val="auto"/>
          <w:szCs w:val="24"/>
          <w:highlight w:val="none"/>
          <w:lang w:val="lt-LT"/>
        </w:rPr>
        <w:t>5</w:t>
      </w:r>
      <w:r>
        <w:rPr>
          <w:color w:val="auto"/>
          <w:szCs w:val="24"/>
          <w:highlight w:val="none"/>
          <w:lang w:val="en-GB"/>
        </w:rPr>
        <w:t xml:space="preserve"> </w:t>
      </w:r>
    </w:p>
    <w:bookmarkEnd w:id="0"/>
    <w:bookmarkEnd w:id="1"/>
    <w:p w14:paraId="49064539">
      <w:pPr>
        <w:pStyle w:val="36"/>
        <w:jc w:val="center"/>
        <w:rPr>
          <w:i/>
          <w:iCs/>
          <w:color w:val="auto"/>
          <w:szCs w:val="24"/>
          <w:highlight w:val="none"/>
          <w:lang w:val="en-GB"/>
        </w:rPr>
      </w:pPr>
      <w:r>
        <w:rPr>
          <w:color w:val="auto"/>
          <w:szCs w:val="24"/>
          <w:highlight w:val="none"/>
          <w:lang w:val="en-GB"/>
        </w:rPr>
        <w:t>Šiauliai</w:t>
      </w:r>
    </w:p>
    <w:p w14:paraId="61621242">
      <w:pPr>
        <w:jc w:val="center"/>
        <w:rPr>
          <w:rFonts w:ascii="Times New Roman" w:hAnsi="Times New Roman" w:cs="Times New Roman"/>
          <w:i/>
          <w:iCs/>
          <w:highlight w:val="none"/>
          <w:lang w:val="en-GB"/>
        </w:rPr>
      </w:pPr>
    </w:p>
    <w:p w14:paraId="5A5D580F">
      <w:pPr>
        <w:pStyle w:val="36"/>
        <w:ind w:firstLine="540"/>
        <w:jc w:val="both"/>
        <w:rPr>
          <w:szCs w:val="24"/>
          <w:highlight w:val="none"/>
          <w:lang w:val="en-GB"/>
        </w:rPr>
      </w:pPr>
      <w:r>
        <w:rPr>
          <w:color w:val="auto"/>
          <w:szCs w:val="24"/>
          <w:highlight w:val="none"/>
          <w:lang w:val="en-GB" w:eastAsia="lt-LT"/>
        </w:rPr>
        <w:t xml:space="preserve">A </w:t>
      </w:r>
      <w:r>
        <w:rPr>
          <w:color w:val="auto"/>
          <w:szCs w:val="24"/>
          <w:highlight w:val="none"/>
          <w:lang w:val="en-US" w:eastAsia="lt-LT"/>
        </w:rPr>
        <w:t xml:space="preserve">research </w:t>
      </w:r>
      <w:r>
        <w:rPr>
          <w:color w:val="auto"/>
          <w:szCs w:val="24"/>
          <w:highlight w:val="none"/>
          <w:lang w:val="en-GB" w:eastAsia="lt-LT"/>
        </w:rPr>
        <w:t xml:space="preserve">group </w:t>
      </w:r>
      <w:r>
        <w:rPr>
          <w:rStyle w:val="14"/>
          <w:b w:val="0"/>
          <w:szCs w:val="24"/>
          <w:highlight w:val="none"/>
          <w:lang w:val="en-US"/>
        </w:rPr>
        <w:t>“</w:t>
      </w:r>
      <w:r>
        <w:rPr>
          <w:rStyle w:val="14"/>
          <w:b w:val="0"/>
          <w:szCs w:val="24"/>
          <w:highlight w:val="none"/>
          <w:lang w:val="en-GB"/>
        </w:rPr>
        <w:t>Linguistic, Literary</w:t>
      </w:r>
      <w:r>
        <w:rPr>
          <w:rStyle w:val="14"/>
          <w:rFonts w:hint="default"/>
          <w:b w:val="0"/>
          <w:szCs w:val="24"/>
          <w:highlight w:val="none"/>
          <w:lang w:val="lt-LT"/>
        </w:rPr>
        <w:t xml:space="preserve"> and </w:t>
      </w:r>
      <w:r>
        <w:rPr>
          <w:rStyle w:val="14"/>
          <w:b w:val="0"/>
          <w:szCs w:val="24"/>
          <w:highlight w:val="none"/>
          <w:lang w:val="en-GB"/>
        </w:rPr>
        <w:t>Cultural Research</w:t>
      </w:r>
      <w:r>
        <w:rPr>
          <w:szCs w:val="24"/>
          <w:highlight w:val="none"/>
          <w:lang w:val="en-US"/>
        </w:rPr>
        <w:t xml:space="preserve">” </w:t>
      </w:r>
      <w:r>
        <w:rPr>
          <w:iCs/>
          <w:color w:val="auto"/>
          <w:szCs w:val="24"/>
          <w:highlight w:val="none"/>
          <w:lang w:val="en-GB" w:eastAsia="lt-LT"/>
        </w:rPr>
        <w:t xml:space="preserve">organises an international interdisciplinary scientific conference </w:t>
      </w:r>
      <w:r>
        <w:rPr>
          <w:i/>
          <w:iCs/>
          <w:color w:val="auto"/>
          <w:szCs w:val="24"/>
          <w:highlight w:val="none"/>
          <w:lang w:val="en-GB" w:eastAsia="lt-LT"/>
        </w:rPr>
        <w:t>The Region: History, Culture, Language</w:t>
      </w:r>
      <w:r>
        <w:rPr>
          <w:iCs/>
          <w:color w:val="auto"/>
          <w:szCs w:val="24"/>
          <w:highlight w:val="none"/>
          <w:lang w:val="en-GB"/>
        </w:rPr>
        <w:t xml:space="preserve"> </w:t>
      </w:r>
      <w:r>
        <w:rPr>
          <w:iCs/>
          <w:color w:val="auto"/>
          <w:szCs w:val="24"/>
          <w:highlight w:val="none"/>
          <w:lang w:val="en-GB" w:eastAsia="lt-LT"/>
        </w:rPr>
        <w:t>on the 1</w:t>
      </w:r>
      <w:r>
        <w:rPr>
          <w:rFonts w:hint="default"/>
          <w:iCs/>
          <w:color w:val="auto"/>
          <w:szCs w:val="24"/>
          <w:highlight w:val="none"/>
          <w:lang w:val="en-US" w:eastAsia="lt-LT"/>
        </w:rPr>
        <w:t>5</w:t>
      </w:r>
      <w:r>
        <w:rPr>
          <w:rFonts w:hint="default"/>
          <w:iCs/>
          <w:color w:val="auto"/>
          <w:szCs w:val="24"/>
          <w:highlight w:val="none"/>
          <w:vertAlign w:val="superscript"/>
          <w:lang w:val="en-US" w:eastAsia="lt-LT"/>
        </w:rPr>
        <w:t>th</w:t>
      </w:r>
      <w:r>
        <w:rPr>
          <w:rFonts w:hint="default"/>
          <w:iCs/>
          <w:color w:val="auto"/>
          <w:szCs w:val="24"/>
          <w:highlight w:val="none"/>
          <w:lang w:val="en-US" w:eastAsia="lt-LT"/>
        </w:rPr>
        <w:t>–</w:t>
      </w:r>
      <w:r>
        <w:rPr>
          <w:color w:val="auto"/>
          <w:szCs w:val="24"/>
          <w:highlight w:val="none"/>
          <w:lang w:val="en-GB"/>
        </w:rPr>
        <w:t>1</w:t>
      </w:r>
      <w:r>
        <w:rPr>
          <w:rFonts w:hint="default"/>
          <w:color w:val="auto"/>
          <w:szCs w:val="24"/>
          <w:highlight w:val="none"/>
          <w:lang w:val="lt-LT"/>
        </w:rPr>
        <w:t>6</w:t>
      </w:r>
      <w:r>
        <w:rPr>
          <w:color w:val="auto"/>
          <w:szCs w:val="24"/>
          <w:highlight w:val="none"/>
          <w:vertAlign w:val="superscript"/>
          <w:lang w:val="en-GB"/>
        </w:rPr>
        <w:t>th</w:t>
      </w:r>
      <w:r>
        <w:rPr>
          <w:color w:val="auto"/>
          <w:szCs w:val="24"/>
          <w:highlight w:val="none"/>
          <w:lang w:val="en-GB"/>
        </w:rPr>
        <w:t xml:space="preserve"> of M</w:t>
      </w:r>
      <w:r>
        <w:rPr>
          <w:szCs w:val="24"/>
          <w:highlight w:val="none"/>
          <w:lang w:val="en-GB"/>
        </w:rPr>
        <w:t>ay, 202</w:t>
      </w:r>
      <w:r>
        <w:rPr>
          <w:rFonts w:hint="default"/>
          <w:szCs w:val="24"/>
          <w:highlight w:val="none"/>
          <w:lang w:val="lt-LT"/>
        </w:rPr>
        <w:t>5</w:t>
      </w:r>
      <w:r>
        <w:rPr>
          <w:szCs w:val="24"/>
          <w:highlight w:val="none"/>
          <w:lang w:val="en-GB"/>
        </w:rPr>
        <w:t>.</w:t>
      </w:r>
    </w:p>
    <w:p w14:paraId="4B9EF8DF">
      <w:pPr>
        <w:ind w:firstLine="540"/>
        <w:jc w:val="both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 xml:space="preserve">Researchers of different fields are invited to participate and discuss the subject using different perspectives. </w:t>
      </w:r>
    </w:p>
    <w:p w14:paraId="7D32B588">
      <w:pPr>
        <w:ind w:firstLine="523"/>
        <w:jc w:val="both"/>
        <w:rPr>
          <w:rFonts w:ascii="Times New Roman" w:hAnsi="Times New Roman" w:cs="Times New Roman"/>
          <w:highlight w:val="none"/>
          <w:lang w:val="en-GB"/>
        </w:rPr>
      </w:pPr>
    </w:p>
    <w:p w14:paraId="48D97FAE">
      <w:pPr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u w:val="single"/>
          <w:lang w:val="en-GB"/>
        </w:rPr>
        <w:t>Suggested topics:</w:t>
      </w:r>
    </w:p>
    <w:p w14:paraId="1D3D57B0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Methodologies and methods in regional research;</w:t>
      </w:r>
    </w:p>
    <w:p w14:paraId="68DF67D4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Regions in historical research;</w:t>
      </w:r>
    </w:p>
    <w:p w14:paraId="42D1F64A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Cultural and communication memory in the region;</w:t>
      </w:r>
    </w:p>
    <w:p w14:paraId="22AD588C">
      <w:pPr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Regional policy and governance;</w:t>
      </w:r>
    </w:p>
    <w:p w14:paraId="6DC4DC74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 xml:space="preserve">Region in ethnology, anthropology and cultural research; </w:t>
      </w:r>
    </w:p>
    <w:p w14:paraId="110FEF2A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Regional identity, mentality and self-awareness;</w:t>
      </w:r>
    </w:p>
    <w:p w14:paraId="72E0D51B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Ethnographic peculiarities of regions;</w:t>
      </w:r>
    </w:p>
    <w:p w14:paraId="218A2B22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Linguistic understanding of the region, territorial and social dialects, language specifics;</w:t>
      </w:r>
    </w:p>
    <w:p w14:paraId="2DA86E57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Regional literature and regional authors, regions and regionality in literature;</w:t>
      </w:r>
    </w:p>
    <w:p w14:paraId="190EF16B">
      <w:pPr>
        <w:pStyle w:val="38"/>
        <w:numPr>
          <w:ilvl w:val="0"/>
          <w:numId w:val="1"/>
        </w:numPr>
        <w:tabs>
          <w:tab w:val="left" w:pos="633"/>
          <w:tab w:val="clear" w:pos="709"/>
        </w:tabs>
        <w:ind w:left="644"/>
        <w:rPr>
          <w:rFonts w:ascii="Times New Roman" w:hAnsi="Times New Roman"/>
          <w:sz w:val="24"/>
          <w:szCs w:val="24"/>
          <w:lang w:val="en-GB"/>
        </w:rPr>
      </w:pPr>
      <w:r>
        <w:rPr>
          <w:rStyle w:val="28"/>
          <w:rFonts w:ascii="Times New Roman" w:hAnsi="Times New Roman"/>
          <w:sz w:val="24"/>
          <w:szCs w:val="24"/>
          <w:lang w:val="en-GB"/>
        </w:rPr>
        <w:t>Traditional and contemporary applied and visual art expression in the region;</w:t>
      </w:r>
    </w:p>
    <w:p w14:paraId="3B488158">
      <w:pPr>
        <w:pStyle w:val="38"/>
        <w:numPr>
          <w:ilvl w:val="0"/>
          <w:numId w:val="1"/>
        </w:numPr>
        <w:tabs>
          <w:tab w:val="left" w:pos="633"/>
          <w:tab w:val="clear" w:pos="709"/>
        </w:tabs>
        <w:ind w:left="644"/>
        <w:rPr>
          <w:rFonts w:ascii="Times New Roman" w:hAnsi="Times New Roman"/>
          <w:sz w:val="24"/>
          <w:szCs w:val="24"/>
          <w:lang w:val="en-GB"/>
        </w:rPr>
      </w:pPr>
      <w:r>
        <w:rPr>
          <w:rStyle w:val="28"/>
          <w:rFonts w:ascii="Times New Roman" w:hAnsi="Times New Roman"/>
          <w:sz w:val="24"/>
          <w:szCs w:val="24"/>
          <w:lang w:val="en-GB"/>
        </w:rPr>
        <w:t>Development opportunities for the design sector in the region;</w:t>
      </w:r>
    </w:p>
    <w:p w14:paraId="1D371BD7">
      <w:pPr>
        <w:pStyle w:val="38"/>
        <w:numPr>
          <w:ilvl w:val="0"/>
          <w:numId w:val="1"/>
        </w:numPr>
        <w:tabs>
          <w:tab w:val="left" w:pos="633"/>
          <w:tab w:val="clear" w:pos="709"/>
        </w:tabs>
        <w:ind w:left="644"/>
        <w:rPr>
          <w:rStyle w:val="28"/>
          <w:rFonts w:ascii="Times New Roman" w:hAnsi="Times New Roman"/>
          <w:sz w:val="24"/>
          <w:szCs w:val="24"/>
          <w:lang w:val="en-GB"/>
        </w:rPr>
      </w:pPr>
      <w:r>
        <w:rPr>
          <w:rStyle w:val="28"/>
          <w:rFonts w:ascii="Times New Roman" w:hAnsi="Times New Roman"/>
          <w:sz w:val="24"/>
          <w:szCs w:val="24"/>
          <w:lang w:val="en-GB"/>
        </w:rPr>
        <w:t>Regions in the context of informal art education;</w:t>
      </w:r>
    </w:p>
    <w:p w14:paraId="5B29E90F">
      <w:pPr>
        <w:pStyle w:val="38"/>
        <w:numPr>
          <w:ilvl w:val="0"/>
          <w:numId w:val="1"/>
        </w:numPr>
        <w:tabs>
          <w:tab w:val="left" w:pos="633"/>
          <w:tab w:val="clear" w:pos="709"/>
        </w:tabs>
        <w:ind w:left="644"/>
        <w:rPr>
          <w:rFonts w:ascii="Times New Roman" w:hAnsi="Times New Roman"/>
          <w:sz w:val="24"/>
          <w:szCs w:val="24"/>
          <w:lang w:val="en-GB"/>
        </w:rPr>
      </w:pPr>
      <w:r>
        <w:rPr>
          <w:rStyle w:val="28"/>
          <w:rFonts w:ascii="Times New Roman" w:hAnsi="Times New Roman"/>
          <w:sz w:val="24"/>
          <w:szCs w:val="24"/>
          <w:lang w:val="en-GB"/>
        </w:rPr>
        <w:t>The specifics of musical folklore in the regions;</w:t>
      </w:r>
    </w:p>
    <w:p w14:paraId="1F022619">
      <w:pPr>
        <w:pStyle w:val="38"/>
        <w:numPr>
          <w:ilvl w:val="0"/>
          <w:numId w:val="1"/>
        </w:numPr>
        <w:tabs>
          <w:tab w:val="left" w:pos="633"/>
          <w:tab w:val="clear" w:pos="709"/>
        </w:tabs>
        <w:ind w:left="644"/>
        <w:rPr>
          <w:rStyle w:val="28"/>
          <w:rFonts w:ascii="Times New Roman" w:hAnsi="Times New Roman"/>
          <w:sz w:val="24"/>
          <w:szCs w:val="24"/>
          <w:lang w:val="en-GB"/>
        </w:rPr>
      </w:pPr>
      <w:r>
        <w:rPr>
          <w:rStyle w:val="28"/>
          <w:rFonts w:ascii="Times New Roman" w:hAnsi="Times New Roman"/>
          <w:sz w:val="24"/>
          <w:szCs w:val="24"/>
          <w:lang w:val="en-GB"/>
        </w:rPr>
        <w:t>The peculiarities of creation, dissemination and perception of professional music in the regions.</w:t>
      </w:r>
    </w:p>
    <w:p w14:paraId="2F5581D2">
      <w:pPr>
        <w:rPr>
          <w:rFonts w:ascii="Times New Roman" w:hAnsi="Times New Roman" w:cs="Times New Roman"/>
          <w:lang w:val="en-GB"/>
        </w:rPr>
      </w:pPr>
    </w:p>
    <w:p w14:paraId="21279F2E">
      <w:pPr>
        <w:rPr>
          <w:rFonts w:ascii="Times New Roman" w:hAnsi="Times New Roman" w:cs="Times New Roman"/>
          <w:lang w:val="en-GB"/>
        </w:rPr>
      </w:pPr>
    </w:p>
    <w:p w14:paraId="76BF0EA2">
      <w:pPr>
        <w:rPr>
          <w:rFonts w:ascii="Times New Roman" w:hAnsi="Times New Roman" w:cs="Times New Roman"/>
          <w:lang w:val="en-GB"/>
        </w:rPr>
      </w:pPr>
    </w:p>
    <w:p w14:paraId="00C1B4F7">
      <w:pPr>
        <w:pStyle w:val="36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Conference languages: Lithuanian, English. </w:t>
      </w:r>
    </w:p>
    <w:p w14:paraId="7EF475D2">
      <w:pPr>
        <w:pStyle w:val="36"/>
        <w:jc w:val="both"/>
        <w:rPr>
          <w:szCs w:val="24"/>
          <w:lang w:val="en-GB"/>
        </w:rPr>
      </w:pPr>
    </w:p>
    <w:p w14:paraId="222A66C3">
      <w:pPr>
        <w:pStyle w:val="36"/>
        <w:jc w:val="both"/>
        <w:rPr>
          <w:szCs w:val="24"/>
          <w:lang w:val="en-GB"/>
        </w:rPr>
      </w:pPr>
    </w:p>
    <w:p w14:paraId="7ABDC7AE">
      <w:pPr>
        <w:pStyle w:val="36"/>
        <w:jc w:val="both"/>
        <w:rPr>
          <w:szCs w:val="24"/>
          <w:lang w:val="en-GB"/>
        </w:rPr>
      </w:pPr>
    </w:p>
    <w:p w14:paraId="4881F795">
      <w:pPr>
        <w:pStyle w:val="36"/>
        <w:jc w:val="both"/>
        <w:rPr>
          <w:szCs w:val="24"/>
          <w:lang w:val="en-GB"/>
        </w:rPr>
      </w:pPr>
    </w:p>
    <w:p w14:paraId="5B01EF2A">
      <w:pPr>
        <w:widowControl/>
        <w:rPr>
          <w:rFonts w:ascii="Times New Roman" w:hAnsi="Times New Roman" w:eastAsia="SimSun" w:cs="Times New Roman"/>
          <w:kern w:val="0"/>
          <w:lang w:val="en-GB" w:bidi="ar"/>
        </w:rPr>
      </w:pPr>
      <w:r>
        <w:rPr>
          <w:rFonts w:ascii="Times New Roman" w:hAnsi="Times New Roman" w:eastAsia="SimSun" w:cs="Times New Roman"/>
          <w:lang w:val="en-US"/>
        </w:rPr>
        <w:t xml:space="preserve">The conference will be held at the </w:t>
      </w:r>
      <w:r>
        <w:rPr>
          <w:rFonts w:ascii="Times New Roman" w:hAnsi="Times New Roman" w:eastAsia="SimSun" w:cs="Times New Roman"/>
          <w:kern w:val="0"/>
          <w:lang w:bidi="ar"/>
        </w:rPr>
        <w:t xml:space="preserve">Šiauliai Academy (Vytauto st. 84, Šiauliai) and </w:t>
      </w:r>
      <w:r>
        <w:rPr>
          <w:rFonts w:ascii="Times New Roman" w:hAnsi="Times New Roman" w:eastAsia="SimSun" w:cs="Times New Roman"/>
          <w:kern w:val="0"/>
          <w:lang w:val="en-GB" w:bidi="ar"/>
        </w:rPr>
        <w:t>online</w:t>
      </w:r>
      <w:r>
        <w:rPr>
          <w:rFonts w:ascii="Times New Roman" w:hAnsi="Times New Roman" w:eastAsia="SimSun" w:cs="Times New Roman"/>
          <w:color w:val="FF0000"/>
          <w:kern w:val="0"/>
          <w:lang w:val="en-US" w:bidi="ar"/>
        </w:rPr>
        <w:t xml:space="preserve"> </w:t>
      </w:r>
      <w:r>
        <w:rPr>
          <w:rFonts w:ascii="Times New Roman" w:hAnsi="Times New Roman" w:eastAsia="SimSun" w:cs="Times New Roman"/>
          <w:kern w:val="0"/>
          <w:lang w:val="en-GB" w:bidi="ar"/>
        </w:rPr>
        <w:t>via the</w:t>
      </w:r>
      <w:r>
        <w:rPr>
          <w:rFonts w:ascii="Times New Roman" w:hAnsi="Times New Roman" w:eastAsia="SimSun" w:cs="Times New Roman"/>
          <w:i/>
          <w:iCs/>
          <w:kern w:val="0"/>
          <w:lang w:val="en-GB" w:bidi="ar"/>
        </w:rPr>
        <w:t xml:space="preserve"> Microsoft Teams</w:t>
      </w:r>
      <w:r>
        <w:rPr>
          <w:rFonts w:ascii="Times New Roman" w:hAnsi="Times New Roman" w:eastAsia="SimSun" w:cs="Times New Roman"/>
          <w:kern w:val="0"/>
          <w:lang w:val="en-GB" w:bidi="ar"/>
        </w:rPr>
        <w:t>.</w:t>
      </w:r>
    </w:p>
    <w:p w14:paraId="091FA276">
      <w:pPr>
        <w:widowControl/>
        <w:rPr>
          <w:rFonts w:ascii="Times New Roman" w:hAnsi="Times New Roman" w:eastAsia="SimSun" w:cs="Times New Roman"/>
          <w:kern w:val="0"/>
          <w:highlight w:val="yellow"/>
          <w:lang w:val="en-GB" w:bidi="ar"/>
        </w:rPr>
      </w:pPr>
    </w:p>
    <w:p w14:paraId="3865DAC1">
      <w:pPr>
        <w:widowControl/>
        <w:rPr>
          <w:rFonts w:ascii="Times New Roman" w:hAnsi="Times New Roman" w:eastAsia="SimSun" w:cs="Times New Roman"/>
          <w:kern w:val="0"/>
          <w:highlight w:val="yellow"/>
          <w:lang w:val="en-GB" w:bidi="ar"/>
        </w:rPr>
      </w:pPr>
    </w:p>
    <w:p w14:paraId="6D21C8B7">
      <w:pPr>
        <w:widowControl/>
        <w:rPr>
          <w:rFonts w:ascii="Times New Roman" w:hAnsi="Times New Roman" w:eastAsia="SimSun" w:cs="Times New Roman"/>
          <w:kern w:val="0"/>
          <w:highlight w:val="yellow"/>
          <w:lang w:val="en-GB" w:bidi="ar"/>
        </w:rPr>
      </w:pPr>
    </w:p>
    <w:p w14:paraId="6127D861">
      <w:pPr>
        <w:widowControl/>
        <w:rPr>
          <w:rFonts w:ascii="Times New Roman" w:hAnsi="Times New Roman" w:eastAsia="SimSun" w:cs="Times New Roman"/>
          <w:kern w:val="0"/>
          <w:highlight w:val="yellow"/>
          <w:lang w:val="en-GB" w:bidi="ar"/>
        </w:rPr>
      </w:pPr>
    </w:p>
    <w:p w14:paraId="19FD8703">
      <w:pPr>
        <w:widowControl/>
        <w:shd w:val="clear" w:color="auto" w:fill="FFFFFF"/>
        <w:rPr>
          <w:rFonts w:hint="default" w:ascii="Times New Roman" w:hAnsi="Times New Roman" w:eastAsia="SimSun" w:cs="Times New Roman"/>
          <w:b/>
          <w:bCs/>
          <w:highlight w:val="none"/>
          <w:lang w:val="lt-LT"/>
        </w:rPr>
      </w:pPr>
      <w:r>
        <w:rPr>
          <w:rFonts w:hint="default"/>
          <w:iCs/>
          <w:color w:val="auto"/>
          <w:szCs w:val="24"/>
          <w:highlight w:val="none"/>
          <w:lang w:val="en-US" w:eastAsia="lt-LT"/>
        </w:rPr>
        <w:t xml:space="preserve">The </w:t>
      </w:r>
      <w:r>
        <w:rPr>
          <w:iCs/>
          <w:color w:val="auto"/>
          <w:szCs w:val="24"/>
          <w:highlight w:val="none"/>
          <w:lang w:val="en-GB" w:eastAsia="lt-LT"/>
        </w:rPr>
        <w:t xml:space="preserve">international interdisciplinary scientific conference </w:t>
      </w:r>
      <w:r>
        <w:rPr>
          <w:rFonts w:hint="default"/>
          <w:iCs/>
          <w:color w:val="auto"/>
          <w:szCs w:val="24"/>
          <w:highlight w:val="none"/>
          <w:lang w:val="en-US" w:eastAsia="lt-LT"/>
        </w:rPr>
        <w:t>“</w:t>
      </w:r>
      <w:r>
        <w:rPr>
          <w:i w:val="0"/>
          <w:iCs w:val="0"/>
          <w:color w:val="auto"/>
          <w:szCs w:val="24"/>
          <w:highlight w:val="none"/>
          <w:lang w:val="en-GB" w:eastAsia="lt-LT"/>
        </w:rPr>
        <w:t>The Region: History, Culture, Language</w:t>
      </w:r>
      <w:r>
        <w:rPr>
          <w:rFonts w:hint="default"/>
          <w:i w:val="0"/>
          <w:iCs w:val="0"/>
          <w:color w:val="auto"/>
          <w:szCs w:val="24"/>
          <w:highlight w:val="none"/>
          <w:lang w:val="en-US" w:eastAsia="lt-LT"/>
        </w:rPr>
        <w:t>”</w:t>
      </w:r>
      <w:r>
        <w:rPr>
          <w:i w:val="0"/>
          <w:iCs w:val="0"/>
          <w:color w:val="auto"/>
          <w:szCs w:val="24"/>
          <w:highlight w:val="none"/>
          <w:lang w:val="en-GB"/>
        </w:rPr>
        <w:t xml:space="preserve"> </w:t>
      </w:r>
      <w:r>
        <w:rPr>
          <w:rFonts w:hint="default"/>
          <w:iCs/>
          <w:color w:val="auto"/>
          <w:szCs w:val="24"/>
          <w:highlight w:val="none"/>
          <w:lang w:val="en-US"/>
        </w:rPr>
        <w:t>(</w:t>
      </w:r>
      <w:r>
        <w:rPr>
          <w:iCs/>
          <w:color w:val="auto"/>
          <w:szCs w:val="24"/>
          <w:highlight w:val="none"/>
          <w:lang w:val="en-GB" w:eastAsia="lt-LT"/>
        </w:rPr>
        <w:t>1</w:t>
      </w:r>
      <w:r>
        <w:rPr>
          <w:rFonts w:hint="default"/>
          <w:iCs/>
          <w:color w:val="auto"/>
          <w:szCs w:val="24"/>
          <w:highlight w:val="none"/>
          <w:lang w:val="en-US" w:eastAsia="lt-LT"/>
        </w:rPr>
        <w:t>5</w:t>
      </w:r>
      <w:r>
        <w:rPr>
          <w:rFonts w:hint="default"/>
          <w:iCs/>
          <w:color w:val="auto"/>
          <w:szCs w:val="24"/>
          <w:highlight w:val="none"/>
          <w:vertAlign w:val="superscript"/>
          <w:lang w:val="en-US" w:eastAsia="lt-LT"/>
        </w:rPr>
        <w:t>th</w:t>
      </w:r>
      <w:r>
        <w:rPr>
          <w:rFonts w:hint="default"/>
          <w:iCs/>
          <w:color w:val="auto"/>
          <w:szCs w:val="24"/>
          <w:highlight w:val="none"/>
          <w:lang w:val="en-US" w:eastAsia="lt-LT"/>
        </w:rPr>
        <w:t>–</w:t>
      </w:r>
      <w:r>
        <w:rPr>
          <w:color w:val="auto"/>
          <w:szCs w:val="24"/>
          <w:highlight w:val="none"/>
          <w:lang w:val="en-GB"/>
        </w:rPr>
        <w:t>1</w:t>
      </w:r>
      <w:r>
        <w:rPr>
          <w:rFonts w:hint="default"/>
          <w:color w:val="auto"/>
          <w:szCs w:val="24"/>
          <w:highlight w:val="none"/>
          <w:lang w:val="lt-LT"/>
        </w:rPr>
        <w:t>6</w:t>
      </w:r>
      <w:r>
        <w:rPr>
          <w:color w:val="auto"/>
          <w:szCs w:val="24"/>
          <w:highlight w:val="none"/>
          <w:vertAlign w:val="superscript"/>
          <w:lang w:val="en-GB"/>
        </w:rPr>
        <w:t>th</w:t>
      </w:r>
      <w:r>
        <w:rPr>
          <w:color w:val="auto"/>
          <w:szCs w:val="24"/>
          <w:highlight w:val="none"/>
          <w:lang w:val="en-GB"/>
        </w:rPr>
        <w:t xml:space="preserve"> of M</w:t>
      </w:r>
      <w:r>
        <w:rPr>
          <w:szCs w:val="24"/>
          <w:highlight w:val="none"/>
          <w:lang w:val="en-GB"/>
        </w:rPr>
        <w:t>ay, 202</w:t>
      </w:r>
      <w:r>
        <w:rPr>
          <w:rFonts w:hint="default"/>
          <w:szCs w:val="24"/>
          <w:highlight w:val="none"/>
          <w:lang w:val="lt-LT"/>
        </w:rPr>
        <w:t>5)</w:t>
      </w:r>
    </w:p>
    <w:p w14:paraId="26704DD3">
      <w:pPr>
        <w:widowControl/>
        <w:shd w:val="clear" w:color="auto" w:fill="FFFFFF"/>
        <w:rPr>
          <w:rFonts w:ascii="Times New Roman" w:hAnsi="Times New Roman" w:eastAsia="SimSun" w:cs="Times New Roman"/>
          <w:b/>
          <w:bCs/>
          <w:color w:val="44546A"/>
          <w:kern w:val="0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SimSun" w:cs="Times New Roman"/>
          <w:b/>
          <w:bCs/>
          <w:lang w:val="en-US"/>
        </w:rPr>
        <w:t>The conference participant</w:t>
      </w:r>
      <w:r>
        <w:rPr>
          <w:rFonts w:ascii="Times New Roman" w:hAnsi="Times New Roman" w:eastAsia="SimSun" w:cs="Times New Roman"/>
          <w:b/>
          <w:bCs/>
          <w:highlight w:val="none"/>
          <w:lang w:val="en-US"/>
        </w:rPr>
        <w:t>ion fee</w:t>
      </w:r>
      <w:r>
        <w:rPr>
          <w:rFonts w:ascii="Times New Roman" w:hAnsi="Times New Roman" w:eastAsia="SimSun" w:cs="Times New Roman"/>
          <w:highlight w:val="none"/>
          <w:lang w:val="en-US"/>
        </w:rPr>
        <w:t xml:space="preserve"> is 50.00 EUR</w:t>
      </w:r>
    </w:p>
    <w:p w14:paraId="232BAD27">
      <w:pPr>
        <w:pStyle w:val="13"/>
        <w:spacing w:before="0" w:beforeAutospacing="0" w:after="0" w:afterAutospacing="0"/>
        <w:rPr>
          <w:highlight w:val="none"/>
        </w:rPr>
      </w:pPr>
      <w:r>
        <w:rPr>
          <w:b/>
          <w:bCs/>
          <w:color w:val="000000"/>
          <w:highlight w:val="none"/>
          <w:lang w:bidi="ar"/>
        </w:rPr>
        <w:t>Instition-receiver</w:t>
      </w:r>
      <w:r>
        <w:rPr>
          <w:color w:val="000000"/>
          <w:highlight w:val="none"/>
          <w:lang w:bidi="ar"/>
        </w:rPr>
        <w:t xml:space="preserve">: </w:t>
      </w:r>
      <w:r>
        <w:rPr>
          <w:color w:val="000000"/>
          <w:highlight w:val="none"/>
          <w:shd w:val="clear" w:color="auto" w:fill="FFFFFF"/>
        </w:rPr>
        <w:t>Vilniaus Universitetas </w:t>
      </w:r>
    </w:p>
    <w:p w14:paraId="1B62CC4F">
      <w:pPr>
        <w:pStyle w:val="13"/>
        <w:spacing w:before="0" w:beforeAutospacing="0" w:after="0" w:afterAutospacing="0"/>
        <w:rPr>
          <w:highlight w:val="none"/>
        </w:rPr>
      </w:pPr>
      <w:r>
        <w:rPr>
          <w:color w:val="000000"/>
          <w:highlight w:val="none"/>
          <w:shd w:val="clear" w:color="auto" w:fill="FFFFFF"/>
        </w:rPr>
        <w:t>Universiteto g. 3, Vilnius  LT-01513 </w:t>
      </w:r>
    </w:p>
    <w:p w14:paraId="353DAECE">
      <w:pPr>
        <w:pStyle w:val="13"/>
        <w:spacing w:before="0" w:beforeAutospacing="0" w:after="0" w:afterAutospacing="0"/>
        <w:rPr>
          <w:highlight w:val="none"/>
        </w:rPr>
      </w:pPr>
      <w:r>
        <w:rPr>
          <w:color w:val="000000"/>
          <w:highlight w:val="none"/>
          <w:shd w:val="clear" w:color="auto" w:fill="FFFFFF"/>
        </w:rPr>
        <w:t>Account number: LT247044060001101392 </w:t>
      </w:r>
    </w:p>
    <w:p w14:paraId="595235E4">
      <w:pPr>
        <w:pStyle w:val="13"/>
        <w:spacing w:before="0" w:beforeAutospacing="0" w:after="0" w:afterAutospacing="0"/>
        <w:rPr>
          <w:highlight w:val="none"/>
        </w:rPr>
      </w:pPr>
      <w:r>
        <w:rPr>
          <w:color w:val="000000"/>
          <w:highlight w:val="none"/>
          <w:shd w:val="clear" w:color="auto" w:fill="FFFFFF"/>
        </w:rPr>
        <w:t>AB SEB bankas </w:t>
      </w:r>
    </w:p>
    <w:p w14:paraId="2DD275A7">
      <w:pPr>
        <w:pStyle w:val="13"/>
        <w:spacing w:before="0" w:beforeAutospacing="0" w:after="0" w:afterAutospacing="0"/>
        <w:rPr>
          <w:highlight w:val="none"/>
        </w:rPr>
      </w:pPr>
      <w:r>
        <w:rPr>
          <w:color w:val="000000"/>
          <w:highlight w:val="none"/>
          <w:shd w:val="clear" w:color="auto" w:fill="FFFFFF"/>
        </w:rPr>
        <w:t>Gedimino g. 12, Vilnius  LT-01103 </w:t>
      </w:r>
    </w:p>
    <w:p w14:paraId="7066BCB6">
      <w:pPr>
        <w:pStyle w:val="13"/>
        <w:spacing w:before="0" w:beforeAutospacing="0" w:after="0" w:afterAutospacing="0"/>
        <w:rPr>
          <w:highlight w:val="none"/>
        </w:rPr>
      </w:pPr>
      <w:r>
        <w:rPr>
          <w:color w:val="000000"/>
          <w:highlight w:val="none"/>
          <w:shd w:val="clear" w:color="auto" w:fill="FFFFFF"/>
        </w:rPr>
        <w:t>SWIFT code CBVILT2X </w:t>
      </w:r>
    </w:p>
    <w:p w14:paraId="326D4EE1">
      <w:pPr>
        <w:widowControl/>
        <w:rPr>
          <w:highlight w:val="none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highlight w:val="none"/>
          <w:lang w:val="en-US" w:bidi="ar"/>
        </w:rPr>
        <w:t>The purpose of the payment</w:t>
      </w:r>
      <w:r>
        <w:rPr>
          <w:rFonts w:ascii="Times New Roman" w:hAnsi="Times New Roman" w:eastAsia="SimSun" w:cs="Times New Roman"/>
          <w:color w:val="000000"/>
          <w:kern w:val="0"/>
          <w:highlight w:val="none"/>
          <w:lang w:bidi="ar"/>
        </w:rPr>
        <w:t xml:space="preserve"> (</w:t>
      </w:r>
      <w:r>
        <w:rPr>
          <w:rFonts w:ascii="Times New Roman" w:hAnsi="Times New Roman" w:eastAsia="SimSun" w:cs="Times New Roman"/>
          <w:highlight w:val="none"/>
          <w:lang w:val="en-US"/>
        </w:rPr>
        <w:t>must be written</w:t>
      </w:r>
      <w:r>
        <w:rPr>
          <w:rFonts w:ascii="Times New Roman" w:hAnsi="Times New Roman" w:eastAsia="SimSun" w:cs="Times New Roman"/>
          <w:color w:val="000000"/>
          <w:kern w:val="0"/>
          <w:highlight w:val="none"/>
          <w:lang w:bidi="ar"/>
        </w:rPr>
        <w:t>)</w:t>
      </w:r>
      <w:r>
        <w:rPr>
          <w:rFonts w:ascii="Times New Roman" w:hAnsi="Times New Roman" w:eastAsia="SimSun" w:cs="Times New Roman"/>
          <w:color w:val="000000"/>
          <w:kern w:val="0"/>
          <w:highlight w:val="none"/>
          <w:lang w:val="en-US" w:bidi="ar"/>
        </w:rPr>
        <w:t xml:space="preserve">: </w:t>
      </w:r>
    </w:p>
    <w:p w14:paraId="56E46F2E">
      <w:pPr>
        <w:widowControl/>
        <w:rPr>
          <w:rFonts w:ascii="Times New Roman" w:hAnsi="Times New Roman" w:eastAsia="SimSun" w:cs="Times New Roman"/>
          <w:color w:val="000000"/>
          <w:kern w:val="0"/>
          <w:highlight w:val="none"/>
          <w:lang w:val="en-US" w:bidi="ar"/>
        </w:rPr>
      </w:pPr>
      <w:r>
        <w:rPr>
          <w:rFonts w:ascii="Times New Roman" w:hAnsi="Times New Roman" w:eastAsia="SimSun" w:cs="Times New Roman"/>
          <w:kern w:val="0"/>
          <w:highlight w:val="none"/>
          <w:lang w:val="en-US" w:bidi="ar"/>
        </w:rPr>
        <w:t xml:space="preserve">Conference </w:t>
      </w:r>
      <w:r>
        <w:rPr>
          <w:rFonts w:ascii="Times New Roman" w:hAnsi="Times New Roman" w:eastAsia="SimSun" w:cs="Times New Roman"/>
          <w:b/>
          <w:bCs/>
          <w:kern w:val="0"/>
          <w:highlight w:val="none"/>
          <w:shd w:val="clear" w:color="auto" w:fill="FFFFFF"/>
          <w:lang w:bidi="ar"/>
        </w:rPr>
        <w:t>№</w:t>
      </w:r>
      <w:r>
        <w:rPr>
          <w:rFonts w:ascii="Times New Roman" w:hAnsi="Times New Roman" w:eastAsia="SimSun" w:cs="Times New Roman"/>
          <w:b/>
          <w:bCs/>
          <w:kern w:val="0"/>
          <w:highlight w:val="none"/>
          <w:shd w:val="clear" w:color="auto" w:fill="FFFFFF"/>
          <w:lang w:val="en-US" w:bidi="ar"/>
        </w:rPr>
        <w:t xml:space="preserve"> </w:t>
      </w:r>
      <w:r>
        <w:rPr>
          <w:b/>
          <w:bCs/>
          <w:sz w:val="24"/>
          <w:highlight w:val="none"/>
        </w:rPr>
        <w:t>ŠA-202</w:t>
      </w:r>
      <w:r>
        <w:rPr>
          <w:rFonts w:hint="default"/>
          <w:b/>
          <w:bCs/>
          <w:sz w:val="24"/>
          <w:highlight w:val="none"/>
          <w:lang w:val="en-US"/>
        </w:rPr>
        <w:t>5</w:t>
      </w:r>
      <w:r>
        <w:rPr>
          <w:b/>
          <w:bCs/>
          <w:sz w:val="24"/>
          <w:highlight w:val="none"/>
        </w:rPr>
        <w:t>-05-000</w:t>
      </w:r>
      <w:r>
        <w:rPr>
          <w:rFonts w:hint="default"/>
          <w:b/>
          <w:bCs/>
          <w:sz w:val="24"/>
          <w:highlight w:val="none"/>
          <w:lang w:val="en-US"/>
        </w:rPr>
        <w:t>1</w:t>
      </w:r>
      <w:r>
        <w:rPr>
          <w:rFonts w:ascii="Times New Roman" w:hAnsi="Times New Roman" w:eastAsia="SimSun" w:cs="Times New Roman"/>
          <w:b/>
          <w:bCs/>
          <w:kern w:val="0"/>
          <w:highlight w:val="none"/>
          <w:shd w:val="clear" w:color="auto" w:fill="FFFFFF"/>
          <w:lang w:val="en-US" w:bidi="ar"/>
        </w:rPr>
        <w:t xml:space="preserve"> </w:t>
      </w:r>
      <w:r>
        <w:rPr>
          <w:rFonts w:ascii="Times New Roman" w:hAnsi="Times New Roman" w:eastAsia="SimSun" w:cs="Times New Roman"/>
          <w:i/>
          <w:color w:val="000000"/>
          <w:kern w:val="0"/>
          <w:highlight w:val="none"/>
          <w:lang w:bidi="ar"/>
        </w:rPr>
        <w:t>(participant name, surname)</w:t>
      </w:r>
      <w:r>
        <w:rPr>
          <w:rFonts w:ascii="Times New Roman" w:hAnsi="Times New Roman" w:eastAsia="SimSun" w:cs="Times New Roman"/>
          <w:color w:val="000000"/>
          <w:kern w:val="0"/>
          <w:highlight w:val="none"/>
          <w:lang w:val="en-US" w:bidi="ar"/>
        </w:rPr>
        <w:t xml:space="preserve"> fee. </w:t>
      </w:r>
    </w:p>
    <w:p w14:paraId="009B1E95">
      <w:pPr>
        <w:widowControl/>
        <w:rPr>
          <w:rFonts w:ascii="Times New Roman" w:hAnsi="Times New Roman" w:eastAsia="SimSun" w:cs="Times New Roman"/>
          <w:color w:val="000000"/>
          <w:kern w:val="0"/>
          <w:highlight w:val="yellow"/>
          <w:lang w:val="en-US" w:bidi="ar"/>
        </w:rPr>
      </w:pPr>
    </w:p>
    <w:p w14:paraId="471C0EF2">
      <w:pPr>
        <w:widowControl/>
        <w:rPr>
          <w:rFonts w:ascii="Times New Roman" w:hAnsi="Times New Roman" w:eastAsia="SimSun" w:cs="Times New Roman"/>
          <w:kern w:val="0"/>
          <w:highlight w:val="none"/>
          <w:lang w:val="en-GB" w:bidi="ar"/>
        </w:rPr>
      </w:pPr>
    </w:p>
    <w:p w14:paraId="4B403E36">
      <w:pPr>
        <w:widowControl/>
        <w:rPr>
          <w:rFonts w:ascii="Times New Roman" w:hAnsi="Times New Roman" w:eastAsia="SimSun" w:cs="Times New Roman"/>
          <w:lang w:val="en-GB"/>
        </w:rPr>
      </w:pPr>
      <w:r>
        <w:rPr>
          <w:rFonts w:ascii="Times New Roman" w:hAnsi="Times New Roman" w:eastAsia="SimSun" w:cs="Times New Roman"/>
          <w:highlight w:val="none"/>
          <w:lang w:val="en-GB"/>
        </w:rPr>
        <w:t xml:space="preserve">Articles, prepared based on the conference presentations, </w:t>
      </w:r>
      <w:r>
        <w:rPr>
          <w:rFonts w:ascii="Times New Roman" w:hAnsi="Times New Roman" w:eastAsia="SimSun" w:cs="Times New Roman"/>
          <w:lang w:val="en-GB"/>
        </w:rPr>
        <w:t xml:space="preserve">will be published in the online journal </w:t>
      </w:r>
      <w:r>
        <w:rPr>
          <w:rFonts w:ascii="Times New Roman" w:hAnsi="Times New Roman" w:eastAsia="SimSun" w:cs="Times New Roman"/>
          <w:i/>
          <w:iCs/>
          <w:lang w:val="en-GB"/>
        </w:rPr>
        <w:t xml:space="preserve">Acta </w:t>
      </w:r>
      <w:r>
        <w:rPr>
          <w:rFonts w:ascii="Times New Roman" w:hAnsi="Times New Roman" w:eastAsia="SimSun" w:cs="Times New Roman"/>
          <w:i/>
          <w:iCs/>
          <w:lang w:val="en-US"/>
        </w:rPr>
        <w:t>h</w:t>
      </w:r>
      <w:r>
        <w:rPr>
          <w:rFonts w:ascii="Times New Roman" w:hAnsi="Times New Roman" w:eastAsia="SimSun" w:cs="Times New Roman"/>
          <w:i/>
          <w:iCs/>
          <w:lang w:val="en-GB"/>
        </w:rPr>
        <w:t xml:space="preserve">umanitarica </w:t>
      </w:r>
      <w:r>
        <w:rPr>
          <w:rFonts w:ascii="Times New Roman" w:hAnsi="Times New Roman" w:eastAsia="SimSun" w:cs="Times New Roman"/>
          <w:i/>
          <w:iCs/>
          <w:lang w:val="en-US"/>
        </w:rPr>
        <w:t>a</w:t>
      </w:r>
      <w:r>
        <w:rPr>
          <w:rFonts w:ascii="Times New Roman" w:hAnsi="Times New Roman" w:eastAsia="SimSun" w:cs="Times New Roman"/>
          <w:i/>
          <w:iCs/>
          <w:lang w:val="en-GB"/>
        </w:rPr>
        <w:t>cademiae Saulensis</w:t>
      </w:r>
      <w:r>
        <w:rPr>
          <w:rFonts w:ascii="Times New Roman" w:hAnsi="Times New Roman" w:eastAsia="SimSun" w:cs="Times New Roman"/>
          <w:lang w:val="en-GB"/>
        </w:rPr>
        <w:t xml:space="preserve"> (</w:t>
      </w:r>
      <w:r>
        <w:rPr>
          <w:rFonts w:ascii="Times New Roman" w:hAnsi="Times New Roman" w:eastAsia="SimSun" w:cs="Times New Roman"/>
          <w:lang w:bidi="ar"/>
        </w:rPr>
        <w:t>IS</w:t>
      </w:r>
      <w:r>
        <w:rPr>
          <w:rFonts w:ascii="Times New Roman" w:hAnsi="Times New Roman" w:cs="Times New Roman"/>
        </w:rPr>
        <w:t>SN 2783-6789</w:t>
      </w:r>
      <w:r>
        <w:rPr>
          <w:rFonts w:ascii="Times New Roman" w:hAnsi="Times New Roman" w:eastAsia="SimSun" w:cs="Times New Roman"/>
          <w:lang w:val="en-GB"/>
        </w:rPr>
        <w:t>).</w:t>
      </w:r>
    </w:p>
    <w:p w14:paraId="13C3722E">
      <w:pPr>
        <w:widowControl/>
        <w:rPr>
          <w:rFonts w:ascii="Times New Roman" w:hAnsi="Times New Roman" w:cs="Times New Roman"/>
          <w:lang w:val="en-GB"/>
        </w:rPr>
      </w:pPr>
    </w:p>
    <w:p w14:paraId="2A5FD1E2">
      <w:pPr>
        <w:pStyle w:val="36"/>
        <w:rPr>
          <w:szCs w:val="24"/>
          <w:lang w:val="en-GB"/>
        </w:rPr>
      </w:pPr>
    </w:p>
    <w:p w14:paraId="083A0737">
      <w:pPr>
        <w:pStyle w:val="36"/>
        <w:rPr>
          <w:szCs w:val="24"/>
          <w:lang w:val="en-GB"/>
        </w:rPr>
      </w:pPr>
    </w:p>
    <w:p w14:paraId="39BAD175">
      <w:pPr>
        <w:pStyle w:val="36"/>
        <w:rPr>
          <w:color w:val="auto"/>
          <w:szCs w:val="24"/>
          <w:highlight w:val="none"/>
          <w:lang w:val="en-GB"/>
        </w:rPr>
      </w:pPr>
      <w:r>
        <w:rPr>
          <w:szCs w:val="24"/>
          <w:lang w:val="en-GB"/>
        </w:rPr>
        <w:t xml:space="preserve">Registration forms including a summary of the presentation (200–300 words) should be submitted </w:t>
      </w:r>
      <w:r>
        <w:rPr>
          <w:szCs w:val="24"/>
          <w:highlight w:val="none"/>
          <w:lang w:val="en-GB"/>
        </w:rPr>
        <w:t xml:space="preserve">by email: </w:t>
      </w:r>
      <w:r>
        <w:fldChar w:fldCharType="begin"/>
      </w:r>
      <w:r>
        <w:instrText xml:space="preserve"> HYPERLINK "mailto:regina.kvasyte@sa.vu.lt" </w:instrText>
      </w:r>
      <w:r>
        <w:fldChar w:fldCharType="separate"/>
      </w:r>
      <w:r>
        <w:rPr>
          <w:rStyle w:val="11"/>
          <w:szCs w:val="24"/>
          <w:highlight w:val="none"/>
          <w:lang w:val="en-GB"/>
        </w:rPr>
        <w:t>regina.kvasyte@sa.vu.lt</w:t>
      </w:r>
      <w:r>
        <w:rPr>
          <w:rStyle w:val="11"/>
          <w:szCs w:val="24"/>
          <w:highlight w:val="none"/>
          <w:lang w:val="en-GB"/>
        </w:rPr>
        <w:fldChar w:fldCharType="end"/>
      </w:r>
      <w:r>
        <w:rPr>
          <w:szCs w:val="24"/>
          <w:highlight w:val="none"/>
          <w:lang w:val="en-GB"/>
        </w:rPr>
        <w:t xml:space="preserve"> till the</w:t>
      </w:r>
      <w:r>
        <w:rPr>
          <w:color w:val="auto"/>
          <w:szCs w:val="24"/>
          <w:highlight w:val="none"/>
          <w:lang w:val="en-GB"/>
        </w:rPr>
        <w:t xml:space="preserve"> </w:t>
      </w:r>
      <w:r>
        <w:rPr>
          <w:rFonts w:hint="default"/>
          <w:b/>
          <w:bCs/>
          <w:color w:val="auto"/>
          <w:szCs w:val="24"/>
          <w:highlight w:val="none"/>
          <w:lang w:val="lt-LT"/>
        </w:rPr>
        <w:t>17</w:t>
      </w:r>
      <w:r>
        <w:rPr>
          <w:rFonts w:hint="default"/>
          <w:b/>
          <w:bCs/>
          <w:color w:val="auto"/>
          <w:szCs w:val="24"/>
          <w:highlight w:val="none"/>
          <w:vertAlign w:val="superscript"/>
          <w:lang w:val="lt-LT"/>
        </w:rPr>
        <w:t>th</w:t>
      </w:r>
      <w:r>
        <w:rPr>
          <w:b/>
          <w:bCs/>
          <w:color w:val="auto"/>
          <w:szCs w:val="24"/>
          <w:highlight w:val="none"/>
          <w:lang w:val="en-GB"/>
        </w:rPr>
        <w:t xml:space="preserve"> of April,</w:t>
      </w:r>
      <w:r>
        <w:rPr>
          <w:b/>
          <w:color w:val="auto"/>
          <w:szCs w:val="24"/>
          <w:highlight w:val="none"/>
          <w:lang w:val="en-GB"/>
        </w:rPr>
        <w:t xml:space="preserve"> 202</w:t>
      </w:r>
      <w:r>
        <w:rPr>
          <w:rFonts w:hint="default"/>
          <w:b/>
          <w:color w:val="auto"/>
          <w:szCs w:val="24"/>
          <w:highlight w:val="none"/>
          <w:lang w:val="lt-LT"/>
        </w:rPr>
        <w:t>5</w:t>
      </w:r>
      <w:r>
        <w:rPr>
          <w:b/>
          <w:color w:val="auto"/>
          <w:szCs w:val="24"/>
          <w:highlight w:val="none"/>
          <w:lang w:val="en-GB"/>
        </w:rPr>
        <w:t>.</w:t>
      </w:r>
    </w:p>
    <w:p w14:paraId="060D49A0">
      <w:pPr>
        <w:pStyle w:val="36"/>
        <w:jc w:val="both"/>
        <w:rPr>
          <w:rFonts w:hint="default"/>
          <w:color w:val="auto"/>
          <w:szCs w:val="24"/>
          <w:highlight w:val="none"/>
          <w:lang w:val="en-US"/>
        </w:rPr>
      </w:pPr>
      <w:r>
        <w:rPr>
          <w:rFonts w:hint="default"/>
          <w:color w:val="auto"/>
          <w:szCs w:val="24"/>
          <w:highlight w:val="none"/>
          <w:lang w:val="en-US"/>
        </w:rPr>
        <w:t xml:space="preserve">Available at: </w:t>
      </w:r>
      <w:r>
        <w:fldChar w:fldCharType="begin"/>
      </w:r>
      <w:r>
        <w:instrText xml:space="preserve"> HYPERLINK "https://www.sa.vu.lt/renginiai/1770-14th-international-interdisciplinary-scientific-conference-the-region-history-culture-language" </w:instrText>
      </w:r>
      <w:r>
        <w:fldChar w:fldCharType="separate"/>
      </w:r>
      <w:r>
        <w:rPr>
          <w:rStyle w:val="11"/>
          <w:rFonts w:hint="default"/>
          <w:szCs w:val="24"/>
          <w:highlight w:val="none"/>
          <w:lang w:val="en-GB"/>
        </w:rPr>
        <w:t>https://www.sa.vu.lt/renginiai/1770-14th-international-interdisciplinary-scientific-conference-the-region-history-culture-language</w:t>
      </w:r>
      <w:r>
        <w:rPr>
          <w:rStyle w:val="11"/>
          <w:rFonts w:hint="default"/>
          <w:szCs w:val="24"/>
          <w:highlight w:val="none"/>
          <w:lang w:val="en-GB"/>
        </w:rPr>
        <w:fldChar w:fldCharType="end"/>
      </w:r>
      <w:r>
        <w:rPr>
          <w:rFonts w:hint="default"/>
          <w:color w:val="auto"/>
          <w:szCs w:val="24"/>
          <w:highlight w:val="none"/>
          <w:lang w:val="en-US"/>
        </w:rPr>
        <w:t xml:space="preserve"> </w:t>
      </w:r>
    </w:p>
    <w:p w14:paraId="0110641E">
      <w:pPr>
        <w:pStyle w:val="36"/>
        <w:jc w:val="both"/>
        <w:rPr>
          <w:color w:val="auto"/>
          <w:szCs w:val="24"/>
        </w:rPr>
      </w:pPr>
      <w:r>
        <w:rPr>
          <w:color w:val="auto"/>
          <w:szCs w:val="24"/>
          <w:highlight w:val="none"/>
          <w:lang w:val="en-GB"/>
        </w:rPr>
        <w:t xml:space="preserve">Authors will be informed about the inclusion of their papers into the conference programme till the </w:t>
      </w:r>
      <w:r>
        <w:rPr>
          <w:rFonts w:hint="default"/>
          <w:b/>
          <w:bCs/>
          <w:color w:val="auto"/>
          <w:szCs w:val="24"/>
          <w:highlight w:val="none"/>
          <w:lang w:val="lt-LT"/>
        </w:rPr>
        <w:t>30</w:t>
      </w:r>
      <w:r>
        <w:rPr>
          <w:rFonts w:hint="default"/>
          <w:b/>
          <w:bCs/>
          <w:color w:val="auto"/>
          <w:szCs w:val="24"/>
          <w:highlight w:val="none"/>
          <w:vertAlign w:val="superscript"/>
          <w:lang w:val="lt-LT"/>
        </w:rPr>
        <w:t>th</w:t>
      </w:r>
      <w:r>
        <w:rPr>
          <w:b/>
          <w:bCs/>
          <w:color w:val="auto"/>
          <w:szCs w:val="24"/>
          <w:highlight w:val="none"/>
          <w:lang w:val="en-GB"/>
        </w:rPr>
        <w:t xml:space="preserve"> of April,</w:t>
      </w:r>
      <w:r>
        <w:rPr>
          <w:rFonts w:hint="default"/>
          <w:b/>
          <w:bCs/>
          <w:color w:val="auto"/>
          <w:szCs w:val="24"/>
          <w:highlight w:val="none"/>
          <w:lang w:val="lt-LT"/>
        </w:rPr>
        <w:t xml:space="preserve"> </w:t>
      </w:r>
      <w:r>
        <w:rPr>
          <w:b/>
          <w:color w:val="auto"/>
          <w:szCs w:val="24"/>
          <w:highlight w:val="none"/>
          <w:lang w:val="en-GB"/>
        </w:rPr>
        <w:t>20</w:t>
      </w:r>
      <w:r>
        <w:rPr>
          <w:b/>
          <w:color w:val="auto"/>
          <w:szCs w:val="24"/>
          <w:lang w:val="en-GB"/>
        </w:rPr>
        <w:t>2</w:t>
      </w:r>
      <w:r>
        <w:rPr>
          <w:rFonts w:hint="default"/>
          <w:b/>
          <w:color w:val="auto"/>
          <w:szCs w:val="24"/>
          <w:lang w:val="lt-LT"/>
        </w:rPr>
        <w:t>5</w:t>
      </w:r>
      <w:r>
        <w:rPr>
          <w:b/>
          <w:color w:val="auto"/>
          <w:szCs w:val="24"/>
          <w:lang w:val="en-GB"/>
        </w:rPr>
        <w:t xml:space="preserve">. </w:t>
      </w:r>
    </w:p>
    <w:p w14:paraId="1EFB0587">
      <w:pPr>
        <w:pStyle w:val="36"/>
        <w:ind w:hanging="10"/>
        <w:jc w:val="both"/>
        <w:rPr>
          <w:b/>
          <w:szCs w:val="24"/>
          <w:lang w:val="en-GB"/>
        </w:rPr>
      </w:pPr>
    </w:p>
    <w:p w14:paraId="78DF18E5">
      <w:pPr>
        <w:pStyle w:val="36"/>
        <w:ind w:hanging="10"/>
        <w:jc w:val="both"/>
        <w:rPr>
          <w:b/>
          <w:szCs w:val="24"/>
          <w:lang w:val="en-GB"/>
        </w:rPr>
      </w:pPr>
    </w:p>
    <w:p w14:paraId="7123DE4D">
      <w:pPr>
        <w:pStyle w:val="36"/>
        <w:ind w:hanging="10"/>
        <w:jc w:val="both"/>
        <w:rPr>
          <w:b/>
          <w:szCs w:val="24"/>
          <w:lang w:val="en-GB"/>
        </w:rPr>
      </w:pPr>
    </w:p>
    <w:p w14:paraId="59EC5D6A">
      <w:pPr>
        <w:pStyle w:val="36"/>
        <w:ind w:hanging="10"/>
        <w:jc w:val="both"/>
        <w:rPr>
          <w:b/>
          <w:szCs w:val="24"/>
          <w:lang w:val="en-GB"/>
        </w:rPr>
      </w:pPr>
    </w:p>
    <w:p w14:paraId="16E93DB4">
      <w:pPr>
        <w:pStyle w:val="36"/>
        <w:ind w:hanging="10"/>
        <w:jc w:val="both"/>
        <w:rPr>
          <w:b/>
          <w:szCs w:val="24"/>
          <w:lang w:val="en-GB"/>
        </w:rPr>
      </w:pPr>
    </w:p>
    <w:p w14:paraId="758FAD80">
      <w:pPr>
        <w:pStyle w:val="36"/>
        <w:ind w:hanging="10"/>
        <w:jc w:val="both"/>
        <w:rPr>
          <w:szCs w:val="24"/>
          <w:lang w:val="en-GB"/>
        </w:rPr>
      </w:pPr>
      <w:r>
        <w:rPr>
          <w:b/>
          <w:szCs w:val="24"/>
        </w:rPr>
        <w:t>C</w:t>
      </w:r>
      <w:r>
        <w:rPr>
          <w:b/>
          <w:szCs w:val="24"/>
          <w:lang w:val="en-GB"/>
        </w:rPr>
        <w:t>onference Scientific Committee:</w:t>
      </w:r>
    </w:p>
    <w:p w14:paraId="10C20AF6">
      <w:pPr>
        <w:pStyle w:val="36"/>
        <w:ind w:firstLine="21"/>
        <w:rPr>
          <w:szCs w:val="24"/>
          <w:lang w:val="en-GB"/>
        </w:rPr>
      </w:pPr>
    </w:p>
    <w:p w14:paraId="21FDE89F">
      <w:pPr>
        <w:pStyle w:val="36"/>
        <w:ind w:firstLine="21"/>
        <w:rPr>
          <w:szCs w:val="24"/>
          <w:lang w:val="en-GB"/>
        </w:rPr>
      </w:pPr>
      <w:r>
        <w:rPr>
          <w:i/>
          <w:iCs/>
          <w:szCs w:val="24"/>
          <w:lang w:val="en-GB"/>
        </w:rPr>
        <w:t>Chairperson</w:t>
      </w:r>
      <w:r>
        <w:rPr>
          <w:szCs w:val="24"/>
          <w:lang w:val="en-GB"/>
        </w:rPr>
        <w:t xml:space="preserve"> – Dr Regina Kvašytė (Vilnius University Šiauliai Academy, Lithuania)</w:t>
      </w:r>
    </w:p>
    <w:p w14:paraId="4A8D9027">
      <w:pPr>
        <w:pStyle w:val="36"/>
        <w:ind w:firstLine="21"/>
        <w:rPr>
          <w:szCs w:val="24"/>
          <w:lang w:val="en-GB"/>
        </w:rPr>
      </w:pPr>
      <w:r>
        <w:rPr>
          <w:i/>
          <w:iCs/>
          <w:szCs w:val="24"/>
          <w:lang w:val="en-GB"/>
        </w:rPr>
        <w:t>Members</w:t>
      </w:r>
      <w:r>
        <w:rPr>
          <w:szCs w:val="24"/>
          <w:lang w:val="en-GB"/>
        </w:rPr>
        <w:t>:</w:t>
      </w:r>
    </w:p>
    <w:p w14:paraId="1FB17562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 Juris Ciganovs (Latvia</w:t>
      </w:r>
      <w:r>
        <w:rPr>
          <w:rFonts w:hint="default" w:ascii="Times New Roman" w:hAnsi="Times New Roman" w:cs="Times New Roman"/>
          <w:lang w:val="en-US"/>
        </w:rPr>
        <w:t>n War</w:t>
      </w:r>
      <w:r>
        <w:rPr>
          <w:rFonts w:ascii="Times New Roman" w:hAnsi="Times New Roman" w:cs="Times New Roman"/>
          <w:lang w:val="en-GB"/>
        </w:rPr>
        <w:t xml:space="preserve"> Museum, Latvia)</w:t>
      </w:r>
    </w:p>
    <w:p w14:paraId="5A2C0E73">
      <w:pPr>
        <w:pStyle w:val="36"/>
        <w:ind w:firstLine="21"/>
        <w:rPr>
          <w:szCs w:val="24"/>
          <w:lang w:val="en-GB"/>
        </w:rPr>
      </w:pPr>
      <w:r>
        <w:rPr>
          <w:szCs w:val="24"/>
          <w:lang w:val="en-GB"/>
        </w:rPr>
        <w:t>Dr Vita Juknevičienė (Vilnius University Šiauliai Academy, Lithuania)</w:t>
      </w:r>
    </w:p>
    <w:p w14:paraId="74F46E54">
      <w:pPr>
        <w:pStyle w:val="36"/>
        <w:ind w:firstLine="21"/>
        <w:rPr>
          <w:szCs w:val="24"/>
          <w:lang w:val="en-GB"/>
        </w:rPr>
      </w:pPr>
      <w:r>
        <w:rPr>
          <w:szCs w:val="24"/>
          <w:lang w:val="en-GB"/>
        </w:rPr>
        <w:t>Dr Mihaela Koletnik (Maribor University, Slovenia)</w:t>
      </w:r>
    </w:p>
    <w:p w14:paraId="07EFEDA8">
      <w:pPr>
        <w:pStyle w:val="36"/>
        <w:ind w:firstLine="21"/>
        <w:rPr>
          <w:szCs w:val="24"/>
          <w:lang w:val="en-GB"/>
        </w:rPr>
      </w:pPr>
      <w:r>
        <w:rPr>
          <w:szCs w:val="24"/>
          <w:lang w:val="en-GB"/>
        </w:rPr>
        <w:t>Dr Vladimir Legac (University of Zagreb, Croatia)</w:t>
      </w:r>
    </w:p>
    <w:p w14:paraId="3D3CA704">
      <w:pPr>
        <w:pStyle w:val="36"/>
        <w:ind w:firstLine="21"/>
        <w:rPr>
          <w:rFonts w:hint="default"/>
          <w:szCs w:val="24"/>
          <w:lang w:val="lt-LT"/>
        </w:rPr>
      </w:pPr>
      <w:r>
        <w:rPr>
          <w:rFonts w:hint="default"/>
          <w:szCs w:val="24"/>
          <w:lang w:val="lt-LT"/>
        </w:rPr>
        <w:t>Dr Arturs Medveckis (</w:t>
      </w:r>
      <w:r>
        <w:rPr>
          <w:rFonts w:hint="default"/>
          <w:szCs w:val="24"/>
          <w:lang w:val="en-US"/>
        </w:rPr>
        <w:t>R</w:t>
      </w:r>
      <w:r>
        <w:rPr>
          <w:rFonts w:hint="default" w:ascii="Times New Roman" w:hAnsi="Times New Roman" w:cs="Times New Roman"/>
          <w:szCs w:val="24"/>
          <w:lang w:val="en-US"/>
        </w:rPr>
        <w:t>ī</w:t>
      </w:r>
      <w:r>
        <w:rPr>
          <w:rFonts w:hint="default"/>
          <w:szCs w:val="24"/>
          <w:lang w:val="en-US"/>
        </w:rPr>
        <w:t xml:space="preserve">ga Technical University </w:t>
      </w:r>
      <w:r>
        <w:rPr>
          <w:rFonts w:hint="default"/>
          <w:szCs w:val="24"/>
          <w:highlight w:val="none"/>
          <w:lang w:val="lt-LT"/>
        </w:rPr>
        <w:t>Liep</w:t>
      </w:r>
      <w:r>
        <w:rPr>
          <w:rFonts w:hint="default" w:ascii="Times New Roman" w:hAnsi="Times New Roman" w:cs="Times New Roman"/>
          <w:szCs w:val="24"/>
          <w:highlight w:val="none"/>
          <w:lang w:val="lt-LT"/>
        </w:rPr>
        <w:t>ā</w:t>
      </w:r>
      <w:r>
        <w:rPr>
          <w:rFonts w:hint="default"/>
          <w:szCs w:val="24"/>
          <w:highlight w:val="none"/>
          <w:lang w:val="lt-LT"/>
        </w:rPr>
        <w:t xml:space="preserve">ja </w:t>
      </w:r>
      <w:r>
        <w:rPr>
          <w:rFonts w:hint="default"/>
          <w:szCs w:val="24"/>
          <w:highlight w:val="none"/>
          <w:lang w:val="en-US"/>
        </w:rPr>
        <w:t>Academy</w:t>
      </w:r>
      <w:r>
        <w:rPr>
          <w:rFonts w:hint="default"/>
          <w:szCs w:val="24"/>
          <w:lang w:val="lt-LT"/>
        </w:rPr>
        <w:t>, Latvia)</w:t>
      </w:r>
    </w:p>
    <w:p w14:paraId="0A72EBF0">
      <w:pPr>
        <w:pStyle w:val="36"/>
        <w:ind w:firstLine="21"/>
        <w:rPr>
          <w:szCs w:val="24"/>
        </w:rPr>
      </w:pPr>
      <w:r>
        <w:rPr>
          <w:szCs w:val="24"/>
        </w:rPr>
        <w:t>Dr Monika Pokorska-Iwaniuk (</w:t>
      </w:r>
      <w:r>
        <w:rPr>
          <w:szCs w:val="24"/>
          <w:lang w:val="en-GB"/>
        </w:rPr>
        <w:t>Adam Mickiewicz University in Poznań</w:t>
      </w:r>
      <w:r>
        <w:rPr>
          <w:szCs w:val="24"/>
        </w:rPr>
        <w:t>, Poland)</w:t>
      </w:r>
    </w:p>
    <w:p w14:paraId="683E789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/>
        <w:textAlignment w:val="auto"/>
        <w:rPr>
          <w:szCs w:val="24"/>
          <w:lang w:val="en-GB"/>
        </w:rPr>
      </w:pPr>
      <w:r>
        <w:rPr>
          <w:szCs w:val="24"/>
          <w:lang w:val="en-GB"/>
        </w:rPr>
        <w:t>Dr Henrihs Soms (</w:t>
      </w:r>
      <w:bookmarkStart w:id="2" w:name="OLE_LINK11"/>
      <w:bookmarkStart w:id="3" w:name="OLE_LINK12"/>
      <w:r>
        <w:rPr>
          <w:szCs w:val="24"/>
          <w:lang w:val="en-GB"/>
        </w:rPr>
        <w:t>Daugavpil</w:t>
      </w:r>
      <w:bookmarkEnd w:id="2"/>
      <w:bookmarkEnd w:id="3"/>
      <w:r>
        <w:rPr>
          <w:szCs w:val="24"/>
          <w:lang w:val="en-GB"/>
        </w:rPr>
        <w:t>s University, Latvia)</w:t>
      </w:r>
    </w:p>
    <w:p w14:paraId="61AAA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right="0" w:firstLine="11"/>
        <w:jc w:val="both"/>
        <w:textAlignment w:val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 Anna Stafecka (</w:t>
      </w:r>
      <w:r>
        <w:rPr>
          <w:rFonts w:ascii="Times New Roman" w:hAnsi="Times New Roman" w:cs="Times New Roman"/>
          <w:color w:val="000000"/>
          <w:lang w:val="en-GB"/>
        </w:rPr>
        <w:t>University of Latvia</w:t>
      </w:r>
      <w:r>
        <w:rPr>
          <w:rFonts w:hint="default" w:ascii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hAnsi="Times New Roman" w:cs="Times New Roman"/>
          <w:lang w:val="en-GB"/>
        </w:rPr>
        <w:t>Latvia)</w:t>
      </w:r>
    </w:p>
    <w:p w14:paraId="378EA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right="0" w:firstLine="11"/>
        <w:jc w:val="both"/>
        <w:textAlignment w:val="auto"/>
        <w:rPr>
          <w:rFonts w:ascii="Times New Roman" w:hAnsi="Times New Roman" w:cs="Times New Roman"/>
          <w:highlight w:val="none"/>
          <w:lang w:val="en-GB"/>
        </w:rPr>
      </w:pPr>
      <w:r>
        <w:rPr>
          <w:rFonts w:ascii="Times New Roman" w:hAnsi="Times New Roman" w:cs="Times New Roman"/>
          <w:highlight w:val="none"/>
          <w:lang w:val="en-GB"/>
        </w:rPr>
        <w:t>Dr R</w:t>
      </w:r>
      <w:r>
        <w:rPr>
          <w:rFonts w:ascii="Times New Roman" w:hAnsi="Times New Roman" w:cs="Times New Roman"/>
          <w:highlight w:val="none"/>
        </w:rPr>
        <w:t>ita Regina Trimon</w:t>
      </w:r>
      <w:r>
        <w:rPr>
          <w:rFonts w:ascii="Times New Roman" w:hAnsi="Times New Roman" w:cs="Times New Roman"/>
          <w:highlight w:val="none"/>
          <w:lang w:val="en-GB"/>
        </w:rPr>
        <w:t xml:space="preserve">ienė </w:t>
      </w:r>
      <w:r>
        <w:rPr>
          <w:highlight w:val="none"/>
          <w:lang w:val="en-GB"/>
        </w:rPr>
        <w:t>(Vilnius University, Lithuania)</w:t>
      </w:r>
    </w:p>
    <w:p w14:paraId="5C2C68FB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 Rytis Urniežius </w:t>
      </w:r>
      <w:bookmarkStart w:id="4" w:name="OLE_LINK21"/>
      <w:bookmarkStart w:id="5" w:name="OLE_LINK22"/>
      <w:r>
        <w:rPr>
          <w:lang w:val="en-GB"/>
        </w:rPr>
        <w:t>(Vilnius University Šiauliai Academy, Lithuania)</w:t>
      </w:r>
      <w:r>
        <w:rPr>
          <w:rFonts w:ascii="Times New Roman" w:hAnsi="Times New Roman" w:cs="Times New Roman"/>
          <w:lang w:val="en-GB"/>
        </w:rPr>
        <w:t xml:space="preserve"> </w:t>
      </w:r>
      <w:bookmarkEnd w:id="4"/>
      <w:bookmarkEnd w:id="5"/>
    </w:p>
    <w:p w14:paraId="7F7EAB5F">
      <w:pPr>
        <w:widowControl/>
      </w:pPr>
      <w:r>
        <w:rPr>
          <w:szCs w:val="24"/>
        </w:rPr>
        <w:t xml:space="preserve">Dr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Kristīne Vacek</w:t>
      </w:r>
      <w:r>
        <w:rPr>
          <w:rFonts w:hint="default" w:eastAsia="SimSun" w:cs="Times New Roman"/>
          <w:sz w:val="24"/>
          <w:szCs w:val="24"/>
          <w:lang w:val="lt-LT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-Ante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en-US"/>
        </w:rPr>
        <w:t>Charles University</w:t>
      </w:r>
      <w:r>
        <w:t>,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en-US"/>
        </w:rPr>
        <w:t>Czech Republic</w:t>
      </w:r>
      <w:r>
        <w:t>)</w:t>
      </w:r>
    </w:p>
    <w:p w14:paraId="487AB65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Jolanta Vaskelienė (</w:t>
      </w:r>
      <w:r>
        <w:rPr>
          <w:lang w:val="en-GB"/>
        </w:rPr>
        <w:t>Vilnius University Šiauliai Academy, Lithuania)</w:t>
      </w:r>
    </w:p>
    <w:p w14:paraId="2CFCA32A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700AEE7C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4E4A4CB6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2C0AD2DD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  <w:bookmarkStart w:id="6" w:name="_GoBack"/>
      <w:bookmarkEnd w:id="6"/>
    </w:p>
    <w:p w14:paraId="2B99ED96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312E973C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4CF3BDF3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0AEB2ECA">
      <w:pPr>
        <w:pStyle w:val="36"/>
        <w:ind w:firstLine="1403"/>
        <w:jc w:val="center"/>
        <w:rPr>
          <w:lang w:val="en-GB"/>
        </w:rPr>
      </w:pPr>
      <w:r>
        <w:rPr>
          <w:rFonts w:eastAsia="Times New Roman"/>
          <w:b/>
          <w:bCs/>
          <w:color w:val="0000FF"/>
          <w:kern w:val="0"/>
          <w:lang w:val="en-GB" w:eastAsia="en-US" w:bidi="ar-SA"/>
        </w:rPr>
        <w:pict>
          <v:shape id="_x0000_i1026" o:spt="75" type="#_x0000_t75" style="height:83.2pt;width:199.8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26181B07">
      <w:pPr>
        <w:pStyle w:val="36"/>
        <w:ind w:firstLine="1403"/>
        <w:jc w:val="center"/>
        <w:rPr>
          <w:lang w:val="en-GB"/>
        </w:rPr>
      </w:pPr>
    </w:p>
    <w:p w14:paraId="60A61E54">
      <w:pPr>
        <w:pStyle w:val="36"/>
        <w:jc w:val="center"/>
        <w:rPr>
          <w:color w:val="auto"/>
          <w:sz w:val="16"/>
          <w:szCs w:val="16"/>
          <w:lang w:val="en-GB"/>
        </w:rPr>
      </w:pPr>
    </w:p>
    <w:p w14:paraId="5EB25ACA">
      <w:pPr>
        <w:pStyle w:val="36"/>
        <w:jc w:val="center"/>
        <w:rPr>
          <w:color w:val="860027"/>
          <w:lang w:val="en-GB"/>
        </w:rPr>
      </w:pPr>
      <w:r>
        <w:rPr>
          <w:b/>
          <w:color w:val="860027"/>
          <w:lang w:val="en-GB"/>
        </w:rPr>
        <w:t>Institute of Regional Development</w:t>
      </w:r>
    </w:p>
    <w:p w14:paraId="545DB940">
      <w:pPr>
        <w:widowControl/>
        <w:spacing w:line="100" w:lineRule="atLeast"/>
        <w:jc w:val="both"/>
        <w:rPr>
          <w:rFonts w:ascii="Times New Roman" w:hAnsi="Times New Roman" w:cs="Times New Roman"/>
          <w:lang w:val="en-GB"/>
        </w:rPr>
      </w:pPr>
    </w:p>
    <w:p w14:paraId="293D0E4E">
      <w:pPr>
        <w:pStyle w:val="36"/>
        <w:jc w:val="center"/>
        <w:rPr>
          <w:szCs w:val="24"/>
          <w:lang w:val="en-GB"/>
        </w:rPr>
      </w:pPr>
      <w:r>
        <w:rPr>
          <w:szCs w:val="24"/>
          <w:lang w:val="en-GB"/>
        </w:rPr>
        <w:t>1</w:t>
      </w:r>
      <w:r>
        <w:rPr>
          <w:rFonts w:hint="default"/>
          <w:szCs w:val="24"/>
          <w:lang w:val="lt-LT"/>
        </w:rPr>
        <w:t>4</w:t>
      </w:r>
      <w:r>
        <w:rPr>
          <w:szCs w:val="24"/>
          <w:vertAlign w:val="superscript"/>
          <w:lang w:val="en-US"/>
        </w:rPr>
        <w:t>th</w:t>
      </w:r>
      <w:r>
        <w:rPr>
          <w:szCs w:val="24"/>
          <w:lang w:val="en-GB"/>
        </w:rPr>
        <w:t xml:space="preserve"> </w:t>
      </w:r>
      <w:r>
        <w:rPr>
          <w:szCs w:val="24"/>
          <w:lang w:val="en-US"/>
        </w:rPr>
        <w:t>I</w:t>
      </w:r>
      <w:r>
        <w:rPr>
          <w:szCs w:val="24"/>
          <w:lang w:val="en-GB"/>
        </w:rPr>
        <w:t xml:space="preserve">nternational </w:t>
      </w:r>
      <w:r>
        <w:rPr>
          <w:szCs w:val="24"/>
          <w:lang w:val="en-US"/>
        </w:rPr>
        <w:t>I</w:t>
      </w:r>
      <w:r>
        <w:rPr>
          <w:szCs w:val="24"/>
          <w:lang w:val="en-GB"/>
        </w:rPr>
        <w:t xml:space="preserve">nterdisciplinary </w:t>
      </w:r>
      <w:r>
        <w:rPr>
          <w:szCs w:val="24"/>
          <w:lang w:val="en-US"/>
        </w:rPr>
        <w:t>S</w:t>
      </w:r>
      <w:r>
        <w:rPr>
          <w:szCs w:val="24"/>
          <w:lang w:val="en-GB"/>
        </w:rPr>
        <w:t xml:space="preserve">cientific </w:t>
      </w:r>
      <w:r>
        <w:rPr>
          <w:szCs w:val="24"/>
          <w:lang w:val="en-US"/>
        </w:rPr>
        <w:t>C</w:t>
      </w:r>
      <w:r>
        <w:rPr>
          <w:szCs w:val="24"/>
          <w:lang w:val="en-GB"/>
        </w:rPr>
        <w:t xml:space="preserve">onference </w:t>
      </w:r>
    </w:p>
    <w:p w14:paraId="7A7DFF2C">
      <w:pPr>
        <w:pStyle w:val="36"/>
        <w:jc w:val="center"/>
        <w:rPr>
          <w:i/>
          <w:iCs/>
          <w:szCs w:val="24"/>
          <w:lang w:val="en-GB"/>
        </w:rPr>
      </w:pPr>
      <w:r>
        <w:rPr>
          <w:b/>
          <w:caps/>
          <w:szCs w:val="24"/>
          <w:lang w:val="en-GB"/>
        </w:rPr>
        <w:t xml:space="preserve">THE REGION: HISTORY, CULTURE, LANGUAGE </w:t>
      </w:r>
    </w:p>
    <w:p w14:paraId="7ECA02CE">
      <w:pPr>
        <w:pStyle w:val="36"/>
        <w:jc w:val="center"/>
        <w:rPr>
          <w:szCs w:val="24"/>
          <w:highlight w:val="none"/>
          <w:lang w:val="en-GB"/>
        </w:rPr>
      </w:pPr>
      <w:r>
        <w:rPr>
          <w:szCs w:val="24"/>
          <w:lang w:val="en-GB"/>
        </w:rPr>
        <w:t>1</w:t>
      </w:r>
      <w:r>
        <w:rPr>
          <w:rFonts w:hint="default"/>
          <w:szCs w:val="24"/>
          <w:lang w:val="lt-LT"/>
        </w:rPr>
        <w:t>5</w:t>
      </w:r>
      <w:r>
        <w:rPr>
          <w:szCs w:val="24"/>
          <w:vertAlign w:val="superscript"/>
          <w:lang w:val="en-US"/>
        </w:rPr>
        <w:t>th</w:t>
      </w:r>
      <w:r>
        <w:rPr>
          <w:szCs w:val="24"/>
          <w:lang w:val="en-GB"/>
        </w:rPr>
        <w:t>–</w:t>
      </w:r>
      <w:r>
        <w:rPr>
          <w:szCs w:val="24"/>
        </w:rPr>
        <w:t>1</w:t>
      </w:r>
      <w:r>
        <w:rPr>
          <w:rFonts w:hint="default"/>
          <w:szCs w:val="24"/>
          <w:lang w:val="lt-LT"/>
        </w:rPr>
        <w:t>6</w:t>
      </w:r>
      <w:r>
        <w:rPr>
          <w:szCs w:val="24"/>
          <w:vertAlign w:val="superscript"/>
          <w:lang w:val="en-US"/>
        </w:rPr>
        <w:t>th</w:t>
      </w:r>
      <w:r>
        <w:rPr>
          <w:szCs w:val="24"/>
          <w:lang w:val="en-GB"/>
        </w:rPr>
        <w:t xml:space="preserve"> </w:t>
      </w:r>
      <w:r>
        <w:rPr>
          <w:szCs w:val="24"/>
          <w:highlight w:val="none"/>
          <w:lang w:val="en-GB"/>
        </w:rPr>
        <w:t>of May, 202</w:t>
      </w:r>
      <w:r>
        <w:rPr>
          <w:rFonts w:hint="default"/>
          <w:szCs w:val="24"/>
          <w:highlight w:val="none"/>
          <w:lang w:val="lt-LT"/>
        </w:rPr>
        <w:t>5</w:t>
      </w:r>
      <w:r>
        <w:rPr>
          <w:szCs w:val="24"/>
          <w:highlight w:val="none"/>
          <w:lang w:val="en-GB"/>
        </w:rPr>
        <w:t xml:space="preserve"> </w:t>
      </w:r>
    </w:p>
    <w:p w14:paraId="057E7FE2">
      <w:pPr>
        <w:pStyle w:val="36"/>
        <w:jc w:val="center"/>
        <w:rPr>
          <w:i/>
          <w:iCs/>
          <w:szCs w:val="24"/>
          <w:highlight w:val="none"/>
          <w:lang w:val="en-GB"/>
        </w:rPr>
      </w:pPr>
      <w:r>
        <w:rPr>
          <w:szCs w:val="24"/>
          <w:highlight w:val="none"/>
          <w:lang w:val="en-GB"/>
        </w:rPr>
        <w:t>Šiauliai</w:t>
      </w:r>
    </w:p>
    <w:p w14:paraId="7487F92B">
      <w:pPr>
        <w:jc w:val="center"/>
        <w:rPr>
          <w:rFonts w:ascii="Times New Roman" w:hAnsi="Times New Roman" w:cs="Times New Roman"/>
          <w:i/>
          <w:iCs/>
          <w:highlight w:val="none"/>
          <w:lang w:val="en-GB"/>
        </w:rPr>
      </w:pPr>
    </w:p>
    <w:p w14:paraId="164F6796">
      <w:pPr>
        <w:pStyle w:val="36"/>
        <w:jc w:val="center"/>
        <w:rPr>
          <w:szCs w:val="24"/>
          <w:highlight w:val="none"/>
          <w:lang w:val="en-GB"/>
        </w:rPr>
      </w:pPr>
    </w:p>
    <w:p w14:paraId="3BCCFDB2">
      <w:pPr>
        <w:pStyle w:val="36"/>
        <w:spacing w:after="120"/>
        <w:jc w:val="center"/>
        <w:rPr>
          <w:szCs w:val="24"/>
          <w:highlight w:val="none"/>
          <w:lang w:val="en-GB"/>
        </w:rPr>
      </w:pPr>
      <w:r>
        <w:rPr>
          <w:szCs w:val="24"/>
          <w:highlight w:val="none"/>
          <w:lang w:val="en-GB"/>
        </w:rPr>
        <w:t>REGISTRATION FORM</w:t>
      </w:r>
    </w:p>
    <w:p w14:paraId="748C79D3">
      <w:pPr>
        <w:pStyle w:val="36"/>
        <w:jc w:val="center"/>
        <w:rPr>
          <w:szCs w:val="24"/>
          <w:highlight w:val="none"/>
          <w:lang w:val="en-GB"/>
        </w:rPr>
      </w:pPr>
    </w:p>
    <w:p w14:paraId="1A41C5C4">
      <w:pPr>
        <w:pStyle w:val="36"/>
        <w:jc w:val="both"/>
        <w:rPr>
          <w:szCs w:val="24"/>
          <w:lang w:val="en-GB"/>
        </w:rPr>
      </w:pPr>
      <w:r>
        <w:rPr>
          <w:szCs w:val="24"/>
          <w:highlight w:val="none"/>
          <w:lang w:val="en-GB"/>
        </w:rPr>
        <w:t xml:space="preserve">To be submitted to </w:t>
      </w:r>
      <w:r>
        <w:rPr>
          <w:b/>
          <w:bCs/>
          <w:szCs w:val="24"/>
          <w:highlight w:val="none"/>
          <w:lang w:val="en-GB"/>
        </w:rPr>
        <w:t>regina.kvasyte@sa.vu.lt</w:t>
      </w:r>
      <w:r>
        <w:rPr>
          <w:szCs w:val="24"/>
          <w:highlight w:val="none"/>
          <w:lang w:val="en-GB"/>
        </w:rPr>
        <w:t xml:space="preserve"> till the </w:t>
      </w:r>
      <w:r>
        <w:rPr>
          <w:rFonts w:hint="default"/>
          <w:b/>
          <w:bCs/>
          <w:szCs w:val="24"/>
          <w:highlight w:val="none"/>
          <w:lang w:val="lt-LT"/>
        </w:rPr>
        <w:t>17</w:t>
      </w:r>
      <w:r>
        <w:rPr>
          <w:rFonts w:hint="default"/>
          <w:b/>
          <w:bCs/>
          <w:szCs w:val="24"/>
          <w:highlight w:val="none"/>
          <w:vertAlign w:val="superscript"/>
          <w:lang w:val="lt-LT"/>
        </w:rPr>
        <w:t>th</w:t>
      </w:r>
      <w:r>
        <w:rPr>
          <w:b/>
          <w:bCs/>
          <w:szCs w:val="24"/>
          <w:highlight w:val="none"/>
          <w:lang w:val="en-GB"/>
        </w:rPr>
        <w:t xml:space="preserve"> of April, 2</w:t>
      </w:r>
      <w:r>
        <w:rPr>
          <w:b/>
          <w:bCs/>
          <w:szCs w:val="24"/>
          <w:lang w:val="en-GB"/>
        </w:rPr>
        <w:t>02</w:t>
      </w:r>
      <w:r>
        <w:rPr>
          <w:rFonts w:hint="default"/>
          <w:b/>
          <w:bCs/>
          <w:szCs w:val="24"/>
          <w:lang w:val="lt-LT"/>
        </w:rPr>
        <w:t>5</w:t>
      </w:r>
      <w:r>
        <w:rPr>
          <w:b/>
          <w:szCs w:val="24"/>
          <w:lang w:val="en-GB"/>
        </w:rPr>
        <w:t>.</w:t>
      </w:r>
    </w:p>
    <w:p w14:paraId="01AB8D92">
      <w:pPr>
        <w:pStyle w:val="36"/>
        <w:jc w:val="both"/>
        <w:rPr>
          <w:szCs w:val="24"/>
          <w:lang w:val="en-GB"/>
        </w:rPr>
      </w:pPr>
    </w:p>
    <w:p w14:paraId="0EC7058D">
      <w:pPr>
        <w:pStyle w:val="39"/>
        <w:spacing w:after="120" w:line="100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Name, surname </w:t>
      </w:r>
    </w:p>
    <w:p w14:paraId="2A8871BA">
      <w:pPr>
        <w:pStyle w:val="39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Organisation </w:t>
      </w:r>
      <w:r>
        <w:rPr>
          <w:szCs w:val="24"/>
          <w:lang w:val="en-GB"/>
        </w:rPr>
        <w:tab/>
      </w:r>
    </w:p>
    <w:p w14:paraId="59CDAEA2">
      <w:pPr>
        <w:pStyle w:val="39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Position </w:t>
      </w:r>
      <w:r>
        <w:rPr>
          <w:szCs w:val="24"/>
          <w:lang w:val="en-GB"/>
        </w:rPr>
        <w:tab/>
      </w:r>
    </w:p>
    <w:p w14:paraId="3B9A09EB">
      <w:pPr>
        <w:pStyle w:val="39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Academic title and degree </w:t>
      </w:r>
    </w:p>
    <w:p w14:paraId="062459C9">
      <w:pPr>
        <w:pStyle w:val="39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Telephone </w:t>
      </w:r>
    </w:p>
    <w:p w14:paraId="196F70BA">
      <w:pPr>
        <w:pStyle w:val="39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>E-mail</w:t>
      </w:r>
      <w:r>
        <w:rPr>
          <w:szCs w:val="24"/>
          <w:lang w:val="en-GB"/>
        </w:rPr>
        <w:tab/>
      </w:r>
    </w:p>
    <w:p w14:paraId="341E1844">
      <w:pPr>
        <w:pStyle w:val="39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Address </w:t>
      </w:r>
    </w:p>
    <w:p w14:paraId="38CE611A">
      <w:pPr>
        <w:pStyle w:val="36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Presentation topic </w:t>
      </w:r>
    </w:p>
    <w:p w14:paraId="6C20A9D0">
      <w:pPr>
        <w:pStyle w:val="36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>Summary of the presentation (200–300 words)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71080840">
      <w:pPr>
        <w:pStyle w:val="36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ab/>
      </w:r>
    </w:p>
    <w:p w14:paraId="7D491A7F">
      <w:pPr>
        <w:pStyle w:val="36"/>
        <w:spacing w:after="120"/>
        <w:jc w:val="both"/>
        <w:rPr>
          <w:szCs w:val="24"/>
          <w:lang w:val="en-GB"/>
        </w:rPr>
      </w:pPr>
    </w:p>
    <w:p w14:paraId="438771D5">
      <w:pPr>
        <w:pStyle w:val="36"/>
        <w:spacing w:after="120"/>
        <w:jc w:val="both"/>
        <w:rPr>
          <w:szCs w:val="24"/>
          <w:lang w:val="en-GB"/>
        </w:rPr>
      </w:pPr>
    </w:p>
    <w:p w14:paraId="4ACCC3C9">
      <w:pPr>
        <w:pStyle w:val="36"/>
        <w:spacing w:after="120"/>
        <w:jc w:val="both"/>
        <w:rPr>
          <w:szCs w:val="24"/>
          <w:highlight w:val="none"/>
          <w:lang w:val="en-GB"/>
        </w:rPr>
      </w:pPr>
      <w:r>
        <w:rPr>
          <w:szCs w:val="24"/>
          <w:highlight w:val="none"/>
          <w:lang w:val="en-GB"/>
        </w:rPr>
        <w:t xml:space="preserve">Planning to participate: </w:t>
      </w:r>
      <w:r>
        <w:rPr>
          <w:i/>
          <w:szCs w:val="24"/>
          <w:highlight w:val="none"/>
          <w:lang w:val="en-GB"/>
        </w:rPr>
        <w:t>online or face to face</w:t>
      </w:r>
    </w:p>
    <w:p w14:paraId="49ED4103">
      <w:pPr>
        <w:pStyle w:val="36"/>
        <w:spacing w:after="120"/>
        <w:jc w:val="both"/>
        <w:rPr>
          <w:szCs w:val="24"/>
          <w:lang w:val="en-GB"/>
        </w:rPr>
      </w:pPr>
    </w:p>
    <w:p w14:paraId="6E34DAC9">
      <w:pPr>
        <w:pStyle w:val="36"/>
        <w:spacing w:after="120"/>
        <w:jc w:val="both"/>
        <w:rPr>
          <w:szCs w:val="24"/>
          <w:lang w:val="en-GB"/>
        </w:rPr>
      </w:pPr>
    </w:p>
    <w:p w14:paraId="20668167">
      <w:pPr>
        <w:pStyle w:val="36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Notes: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sectPr>
      <w:pgSz w:w="11906" w:h="16838"/>
      <w:pgMar w:top="1134" w:right="1134" w:bottom="1134" w:left="1134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2020603050405020304"/>
    <w:charset w:val="BA"/>
    <w:family w:val="roman"/>
    <w:pitch w:val="default"/>
    <w:sig w:usb0="00000000" w:usb1="00000000" w:usb2="00000021" w:usb3="00000000" w:csb0="000001BF" w:csb1="00000000"/>
  </w:font>
  <w:font w:name="Droid Sans Fallback">
    <w:altName w:val="SimSu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iberation Sans">
    <w:altName w:val="Microsoft Sans Serif"/>
    <w:panose1 w:val="020B0604020202020204"/>
    <w:charset w:val="BA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"/>
      <w:lvlJc w:val="left"/>
      <w:pPr>
        <w:tabs>
          <w:tab w:val="left" w:pos="709"/>
        </w:tabs>
        <w:ind w:left="720" w:hanging="360"/>
      </w:pPr>
      <w:rPr>
        <w:rFonts w:ascii="Wingdings 2" w:hAnsi="Wingdings 2" w:cs="Wingdings 2"/>
        <w:i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 w:tentative="0">
      <w:start w:val="1"/>
      <w:numFmt w:val="bullet"/>
      <w:lvlText w:val=""/>
      <w:lvlJc w:val="left"/>
      <w:pPr>
        <w:tabs>
          <w:tab w:val="left" w:pos="1800"/>
        </w:tabs>
        <w:ind w:left="1800" w:hanging="360"/>
      </w:pPr>
      <w:rPr>
        <w:rFonts w:ascii="Wingdings 2" w:hAnsi="Wingdings 2" w:cs="Wingdings 2"/>
        <w:i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 w:tentative="0">
      <w:start w:val="1"/>
      <w:numFmt w:val="bullet"/>
      <w:lvlText w:val=""/>
      <w:lvlJc w:val="left"/>
      <w:pPr>
        <w:tabs>
          <w:tab w:val="left" w:pos="2880"/>
        </w:tabs>
        <w:ind w:left="2880" w:hanging="360"/>
      </w:pPr>
      <w:rPr>
        <w:rFonts w:ascii="Wingdings 2" w:hAnsi="Wingdings 2" w:cs="Wingdings 2"/>
        <w:i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defaultTabStop w:val="709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13E"/>
    <w:rsid w:val="00006099"/>
    <w:rsid w:val="00012737"/>
    <w:rsid w:val="001176E8"/>
    <w:rsid w:val="001357BA"/>
    <w:rsid w:val="00156E3C"/>
    <w:rsid w:val="001732C0"/>
    <w:rsid w:val="001B0D73"/>
    <w:rsid w:val="001C0051"/>
    <w:rsid w:val="0024513E"/>
    <w:rsid w:val="0028646B"/>
    <w:rsid w:val="003317B8"/>
    <w:rsid w:val="0033462F"/>
    <w:rsid w:val="0033783D"/>
    <w:rsid w:val="0039671C"/>
    <w:rsid w:val="003B7BED"/>
    <w:rsid w:val="003F5299"/>
    <w:rsid w:val="004553BE"/>
    <w:rsid w:val="00493484"/>
    <w:rsid w:val="004A5794"/>
    <w:rsid w:val="004D1CEF"/>
    <w:rsid w:val="004D4BC7"/>
    <w:rsid w:val="004E57B9"/>
    <w:rsid w:val="0051172E"/>
    <w:rsid w:val="00531F0A"/>
    <w:rsid w:val="005751EA"/>
    <w:rsid w:val="00604F89"/>
    <w:rsid w:val="0062562E"/>
    <w:rsid w:val="00625E47"/>
    <w:rsid w:val="0064069C"/>
    <w:rsid w:val="0066480F"/>
    <w:rsid w:val="00693C66"/>
    <w:rsid w:val="00702040"/>
    <w:rsid w:val="007179AE"/>
    <w:rsid w:val="00736CFD"/>
    <w:rsid w:val="00777B26"/>
    <w:rsid w:val="007A56A1"/>
    <w:rsid w:val="007D59BC"/>
    <w:rsid w:val="007E4EC6"/>
    <w:rsid w:val="0080530A"/>
    <w:rsid w:val="00836E25"/>
    <w:rsid w:val="00843131"/>
    <w:rsid w:val="0084373D"/>
    <w:rsid w:val="00846911"/>
    <w:rsid w:val="008766B7"/>
    <w:rsid w:val="00883C4B"/>
    <w:rsid w:val="00896BF7"/>
    <w:rsid w:val="0095567F"/>
    <w:rsid w:val="00974FA5"/>
    <w:rsid w:val="00995DE9"/>
    <w:rsid w:val="009A1FE5"/>
    <w:rsid w:val="009B7EC1"/>
    <w:rsid w:val="00AC369F"/>
    <w:rsid w:val="00AD04DB"/>
    <w:rsid w:val="00B20E0E"/>
    <w:rsid w:val="00B301DC"/>
    <w:rsid w:val="00BA55FF"/>
    <w:rsid w:val="00BB7088"/>
    <w:rsid w:val="00C40E91"/>
    <w:rsid w:val="00C57509"/>
    <w:rsid w:val="00C57822"/>
    <w:rsid w:val="00C64E06"/>
    <w:rsid w:val="00CB42F1"/>
    <w:rsid w:val="00CB73E3"/>
    <w:rsid w:val="00CF216C"/>
    <w:rsid w:val="00D00B40"/>
    <w:rsid w:val="00D06A0F"/>
    <w:rsid w:val="00D148C3"/>
    <w:rsid w:val="00D219BF"/>
    <w:rsid w:val="00D758C7"/>
    <w:rsid w:val="00D77C88"/>
    <w:rsid w:val="00DD2E45"/>
    <w:rsid w:val="00DD7D71"/>
    <w:rsid w:val="00E60146"/>
    <w:rsid w:val="00E918BD"/>
    <w:rsid w:val="00E95256"/>
    <w:rsid w:val="00F072F5"/>
    <w:rsid w:val="00F56293"/>
    <w:rsid w:val="00F63BEB"/>
    <w:rsid w:val="00F77FF6"/>
    <w:rsid w:val="00F90151"/>
    <w:rsid w:val="00FF7568"/>
    <w:rsid w:val="02D93B32"/>
    <w:rsid w:val="057C74BE"/>
    <w:rsid w:val="08391A1B"/>
    <w:rsid w:val="08E223C6"/>
    <w:rsid w:val="0B8272AD"/>
    <w:rsid w:val="0C7A3062"/>
    <w:rsid w:val="0E247F43"/>
    <w:rsid w:val="0EC912E8"/>
    <w:rsid w:val="14C3299E"/>
    <w:rsid w:val="15BE7901"/>
    <w:rsid w:val="169D7589"/>
    <w:rsid w:val="170654FE"/>
    <w:rsid w:val="185435F2"/>
    <w:rsid w:val="192B2FD7"/>
    <w:rsid w:val="1C595011"/>
    <w:rsid w:val="1CFE70E1"/>
    <w:rsid w:val="1D2943E1"/>
    <w:rsid w:val="1E636633"/>
    <w:rsid w:val="1EA73B68"/>
    <w:rsid w:val="220502E8"/>
    <w:rsid w:val="22F92B53"/>
    <w:rsid w:val="293164A9"/>
    <w:rsid w:val="294879A8"/>
    <w:rsid w:val="2B3952E7"/>
    <w:rsid w:val="2BCF4D23"/>
    <w:rsid w:val="2C4061B1"/>
    <w:rsid w:val="2C6F2628"/>
    <w:rsid w:val="2D2D4B9B"/>
    <w:rsid w:val="2D7F770B"/>
    <w:rsid w:val="2EA57F51"/>
    <w:rsid w:val="2F9E62A0"/>
    <w:rsid w:val="2FA00D57"/>
    <w:rsid w:val="2FAD6E17"/>
    <w:rsid w:val="2FFE0F17"/>
    <w:rsid w:val="335C1CB6"/>
    <w:rsid w:val="356F3D46"/>
    <w:rsid w:val="35BE0C37"/>
    <w:rsid w:val="37F2336E"/>
    <w:rsid w:val="38216EBA"/>
    <w:rsid w:val="384F1316"/>
    <w:rsid w:val="389F658C"/>
    <w:rsid w:val="38FC1B7F"/>
    <w:rsid w:val="39DD788C"/>
    <w:rsid w:val="3AB376D0"/>
    <w:rsid w:val="3B7F23F1"/>
    <w:rsid w:val="3C0A1C09"/>
    <w:rsid w:val="3C21449A"/>
    <w:rsid w:val="3CA949DE"/>
    <w:rsid w:val="3DC86767"/>
    <w:rsid w:val="3E1425AE"/>
    <w:rsid w:val="3EB9610F"/>
    <w:rsid w:val="424B68F0"/>
    <w:rsid w:val="42A134DE"/>
    <w:rsid w:val="43833454"/>
    <w:rsid w:val="438A44CD"/>
    <w:rsid w:val="43A27A3B"/>
    <w:rsid w:val="43D870DF"/>
    <w:rsid w:val="44247444"/>
    <w:rsid w:val="44A57175"/>
    <w:rsid w:val="44BE6783"/>
    <w:rsid w:val="47F2661B"/>
    <w:rsid w:val="48C52BDB"/>
    <w:rsid w:val="4A4A1BDF"/>
    <w:rsid w:val="4A682F94"/>
    <w:rsid w:val="4C8C397A"/>
    <w:rsid w:val="4D285F4D"/>
    <w:rsid w:val="4F3548BF"/>
    <w:rsid w:val="4FE43852"/>
    <w:rsid w:val="50771FFC"/>
    <w:rsid w:val="517B2DF4"/>
    <w:rsid w:val="52701C77"/>
    <w:rsid w:val="541648D1"/>
    <w:rsid w:val="54172EDF"/>
    <w:rsid w:val="5708120D"/>
    <w:rsid w:val="5D3C43E6"/>
    <w:rsid w:val="5D7D581C"/>
    <w:rsid w:val="60D428DC"/>
    <w:rsid w:val="61052B44"/>
    <w:rsid w:val="627B4C7D"/>
    <w:rsid w:val="67005547"/>
    <w:rsid w:val="677B2921"/>
    <w:rsid w:val="699A05CE"/>
    <w:rsid w:val="69A72ABF"/>
    <w:rsid w:val="6A0F2B77"/>
    <w:rsid w:val="6A32313D"/>
    <w:rsid w:val="6A504F08"/>
    <w:rsid w:val="6B866C63"/>
    <w:rsid w:val="6BDC01A0"/>
    <w:rsid w:val="6E9966C5"/>
    <w:rsid w:val="6F906926"/>
    <w:rsid w:val="735561CA"/>
    <w:rsid w:val="74544E33"/>
    <w:rsid w:val="75FB57F7"/>
    <w:rsid w:val="76777E86"/>
    <w:rsid w:val="774901CB"/>
    <w:rsid w:val="7785043F"/>
    <w:rsid w:val="77B56D63"/>
    <w:rsid w:val="786D1D58"/>
    <w:rsid w:val="79D1798E"/>
    <w:rsid w:val="7A2E2A1C"/>
    <w:rsid w:val="7AEF5D48"/>
    <w:rsid w:val="7C65185E"/>
    <w:rsid w:val="7C722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Droid Sans Fallback" w:cs="FreeSans"/>
      <w:kern w:val="1"/>
      <w:sz w:val="24"/>
      <w:szCs w:val="24"/>
      <w:lang w:val="lt-LT" w:eastAsia="zh-CN" w:bidi="hi-IN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7">
    <w:name w:val="annotation reference"/>
    <w:semiHidden/>
    <w:qFormat/>
    <w:uiPriority w:val="0"/>
    <w:rPr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qFormat/>
    <w:uiPriority w:val="0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"/>
    <w:basedOn w:val="5"/>
    <w:qFormat/>
    <w:uiPriority w:val="0"/>
    <w:rPr>
      <w:rFonts w:cs="FreeSans"/>
    </w:rPr>
  </w:style>
  <w:style w:type="paragraph" w:styleId="13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4">
    <w:name w:val="Strong"/>
    <w:qFormat/>
    <w:uiPriority w:val="22"/>
    <w:rPr>
      <w:b/>
      <w:bCs/>
    </w:rPr>
  </w:style>
  <w:style w:type="table" w:styleId="15">
    <w:name w:val="Table Grid"/>
    <w:basedOn w:val="3"/>
    <w:qFormat/>
    <w:uiPriority w:val="59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WW8Num2z4"/>
    <w:qFormat/>
    <w:uiPriority w:val="0"/>
  </w:style>
  <w:style w:type="character" w:customStyle="1" w:styleId="17">
    <w:name w:val="ListLabel 4"/>
    <w:qFormat/>
    <w:uiPriority w:val="0"/>
    <w:rPr>
      <w:rFonts w:cs="OpenSymbol"/>
    </w:rPr>
  </w:style>
  <w:style w:type="character" w:customStyle="1" w:styleId="18">
    <w:name w:val="Default Paragraph Font1"/>
    <w:qFormat/>
    <w:uiPriority w:val="0"/>
  </w:style>
  <w:style w:type="character" w:customStyle="1" w:styleId="19">
    <w:name w:val="Komentaro nuoroda1"/>
    <w:qFormat/>
    <w:uiPriority w:val="0"/>
    <w:rPr>
      <w:sz w:val="16"/>
      <w:szCs w:val="16"/>
    </w:rPr>
  </w:style>
  <w:style w:type="character" w:customStyle="1" w:styleId="20">
    <w:name w:val="Numatytasis pastraipos šriftas1"/>
    <w:qFormat/>
    <w:uiPriority w:val="0"/>
  </w:style>
  <w:style w:type="character" w:customStyle="1" w:styleId="21">
    <w:name w:val="WW8Num1z1"/>
    <w:qFormat/>
    <w:uiPriority w:val="0"/>
    <w:rPr>
      <w:rFonts w:ascii="OpenSymbol" w:hAnsi="OpenSymbol" w:cs="OpenSymbol"/>
    </w:rPr>
  </w:style>
  <w:style w:type="character" w:customStyle="1" w:styleId="22">
    <w:name w:val="WW8Num2z5"/>
    <w:qFormat/>
    <w:uiPriority w:val="0"/>
  </w:style>
  <w:style w:type="character" w:customStyle="1" w:styleId="23">
    <w:name w:val="WW8Num1z0"/>
    <w:qFormat/>
    <w:uiPriority w:val="0"/>
    <w:rPr>
      <w:rFonts w:ascii="Wingdings 2" w:hAnsi="Wingdings 2" w:cs="Wingdings 2"/>
      <w:i/>
    </w:rPr>
  </w:style>
  <w:style w:type="character" w:customStyle="1" w:styleId="24">
    <w:name w:val="WW8Num2z3"/>
    <w:qFormat/>
    <w:uiPriority w:val="0"/>
  </w:style>
  <w:style w:type="character" w:customStyle="1" w:styleId="25">
    <w:name w:val="WW8Num2z8"/>
    <w:qFormat/>
    <w:uiPriority w:val="0"/>
  </w:style>
  <w:style w:type="character" w:customStyle="1" w:styleId="26">
    <w:name w:val="WW8Num2z0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s1"/>
    <w:uiPriority w:val="0"/>
  </w:style>
  <w:style w:type="character" w:customStyle="1" w:styleId="29">
    <w:name w:val="ListLabel 3"/>
    <w:qFormat/>
    <w:uiPriority w:val="0"/>
    <w:rPr>
      <w:rFonts w:cs="Wingdings 2"/>
      <w:i/>
    </w:rPr>
  </w:style>
  <w:style w:type="character" w:customStyle="1" w:styleId="30">
    <w:name w:val="s2"/>
    <w:qFormat/>
    <w:uiPriority w:val="0"/>
    <w:rPr>
      <w:shd w:val="clear" w:color="auto" w:fill="FFFFFF"/>
    </w:rPr>
  </w:style>
  <w:style w:type="character" w:customStyle="1" w:styleId="31">
    <w:name w:val="WW8Num2z7"/>
    <w:qFormat/>
    <w:uiPriority w:val="0"/>
  </w:style>
  <w:style w:type="character" w:customStyle="1" w:styleId="32">
    <w:name w:val="WW8Num2z1"/>
    <w:qFormat/>
    <w:uiPriority w:val="0"/>
  </w:style>
  <w:style w:type="character" w:customStyle="1" w:styleId="33">
    <w:name w:val="WW8Num2z6"/>
    <w:qFormat/>
    <w:uiPriority w:val="0"/>
  </w:style>
  <w:style w:type="paragraph" w:customStyle="1" w:styleId="34">
    <w:name w:val="Antraštė2"/>
    <w:basedOn w:val="1"/>
    <w:next w:val="5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5">
    <w:name w:val="Rodyklė"/>
    <w:basedOn w:val="1"/>
    <w:qFormat/>
    <w:uiPriority w:val="0"/>
    <w:pPr>
      <w:suppressLineNumbers/>
    </w:pPr>
    <w:rPr>
      <w:rFonts w:cs="FreeSans"/>
    </w:rPr>
  </w:style>
  <w:style w:type="paragraph" w:customStyle="1" w:styleId="36">
    <w:name w:val="WW-Numatytasis"/>
    <w:qFormat/>
    <w:uiPriority w:val="0"/>
    <w:pPr>
      <w:suppressAutoHyphens/>
      <w:spacing w:line="100" w:lineRule="atLeast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37">
    <w:name w:val="Caption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8">
    <w:name w:val="p1"/>
    <w:basedOn w:val="1"/>
    <w:qFormat/>
    <w:uiPriority w:val="0"/>
    <w:pPr>
      <w:widowControl/>
      <w:suppressAutoHyphens w:val="0"/>
    </w:pPr>
    <w:rPr>
      <w:rFonts w:ascii="Helvetica" w:hAnsi="Helvetica"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39">
    <w:name w:val="Body Text 21"/>
    <w:qFormat/>
    <w:uiPriority w:val="0"/>
    <w:pPr>
      <w:suppressAutoHyphens/>
      <w:spacing w:line="360" w:lineRule="auto"/>
      <w:jc w:val="both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40">
    <w:name w:val="p2"/>
    <w:basedOn w:val="1"/>
    <w:qFormat/>
    <w:uiPriority w:val="0"/>
    <w:pPr>
      <w:widowControl/>
      <w:suppressAutoHyphens w:val="0"/>
    </w:pPr>
    <w:rPr>
      <w:rFonts w:ascii="Times" w:hAnsi="Times" w:eastAsia="Times New Roman" w:cs="Times New Roman"/>
      <w:color w:val="656461"/>
      <w:kern w:val="0"/>
      <w:sz w:val="21"/>
      <w:szCs w:val="21"/>
      <w:lang w:val="en-US" w:eastAsia="en-US" w:bidi="ar-SA"/>
    </w:rPr>
  </w:style>
  <w:style w:type="paragraph" w:customStyle="1" w:styleId="41">
    <w:name w:val="Antraštė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2443</Words>
  <Characters>1393</Characters>
  <Lines>11</Lines>
  <Paragraphs>7</Paragraphs>
  <TotalTime>0</TotalTime>
  <ScaleCrop>false</ScaleCrop>
  <LinksUpToDate>false</LinksUpToDate>
  <CharactersWithSpaces>3829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2023-02-17T09:20:00Z</dcterms:created>
  <dc:creator>RK</dc:creator>
  <cp:lastModifiedBy>Regina Kvašytė</cp:lastModifiedBy>
  <cp:lastPrinted>2020-01-10T16:40:00Z</cp:lastPrinted>
  <dcterms:modified xsi:type="dcterms:W3CDTF">2025-01-22T15:28:36Z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0034EEBEF072471E99C46D8067B1DEE1</vt:lpwstr>
  </property>
  <property fmtid="{D5CDD505-2E9C-101B-9397-08002B2CF9AE}" pid="3" name="KSOProductBuildVer">
    <vt:lpwstr>1033-12.2.0.19805</vt:lpwstr>
  </property>
</Properties>
</file>